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652CF" w:rsidRPr="004328B6" w14:paraId="3F3F9214" w14:textId="77777777" w:rsidTr="00B652CF">
        <w:trPr>
          <w:trHeight w:val="792"/>
        </w:trPr>
        <w:tc>
          <w:tcPr>
            <w:tcW w:w="9628" w:type="dxa"/>
            <w:tcBorders>
              <w:top w:val="single" w:sz="4" w:space="0" w:color="auto"/>
              <w:left w:val="single" w:sz="4" w:space="0" w:color="auto"/>
              <w:bottom w:val="single" w:sz="4" w:space="0" w:color="auto"/>
              <w:right w:val="single" w:sz="4" w:space="0" w:color="auto"/>
            </w:tcBorders>
            <w:vAlign w:val="center"/>
          </w:tcPr>
          <w:p w14:paraId="29CB293A" w14:textId="77777777" w:rsidR="007A571D" w:rsidRPr="004328B6" w:rsidRDefault="00B652CF" w:rsidP="004328B6">
            <w:pPr>
              <w:autoSpaceDE w:val="0"/>
              <w:autoSpaceDN w:val="0"/>
              <w:adjustRightInd w:val="0"/>
              <w:spacing w:line="312" w:lineRule="auto"/>
              <w:ind w:left="5670" w:hanging="5670"/>
              <w:rPr>
                <w:b/>
              </w:rPr>
            </w:pPr>
            <w:r w:rsidRPr="004328B6">
              <w:rPr>
                <w:b/>
              </w:rPr>
              <w:t>TUTOR</w:t>
            </w:r>
          </w:p>
          <w:p w14:paraId="32D562E4" w14:textId="2B3DD83F" w:rsidR="00B652CF" w:rsidRPr="00C42B55" w:rsidRDefault="00C42B55" w:rsidP="00C42B55">
            <w:pPr>
              <w:autoSpaceDE w:val="0"/>
              <w:autoSpaceDN w:val="0"/>
              <w:adjustRightInd w:val="0"/>
              <w:spacing w:line="312" w:lineRule="auto"/>
              <w:rPr>
                <w:bCs/>
              </w:rPr>
            </w:pPr>
            <w:r w:rsidRPr="00C42B55">
              <w:rPr>
                <w:bCs/>
              </w:rPr>
              <w:t>Jacopo Lenzi</w:t>
            </w:r>
          </w:p>
        </w:tc>
      </w:tr>
      <w:tr w:rsidR="00B652CF" w:rsidRPr="004328B6" w14:paraId="356E4F50" w14:textId="77777777" w:rsidTr="00B652CF">
        <w:trPr>
          <w:trHeight w:val="792"/>
        </w:trPr>
        <w:tc>
          <w:tcPr>
            <w:tcW w:w="9628" w:type="dxa"/>
            <w:tcBorders>
              <w:top w:val="single" w:sz="4" w:space="0" w:color="auto"/>
              <w:left w:val="single" w:sz="4" w:space="0" w:color="auto"/>
              <w:bottom w:val="single" w:sz="4" w:space="0" w:color="auto"/>
              <w:right w:val="single" w:sz="4" w:space="0" w:color="auto"/>
            </w:tcBorders>
            <w:vAlign w:val="center"/>
          </w:tcPr>
          <w:p w14:paraId="673D4AE0" w14:textId="191FF9CE" w:rsidR="00C42B55" w:rsidRPr="00C42B55" w:rsidRDefault="00B652CF" w:rsidP="00C42B55">
            <w:pPr>
              <w:autoSpaceDE w:val="0"/>
              <w:autoSpaceDN w:val="0"/>
              <w:adjustRightInd w:val="0"/>
              <w:spacing w:line="312" w:lineRule="auto"/>
              <w:rPr>
                <w:b/>
              </w:rPr>
            </w:pPr>
            <w:r w:rsidRPr="004328B6">
              <w:rPr>
                <w:b/>
              </w:rPr>
              <w:t>TITOLO DEL PROGETTO</w:t>
            </w:r>
            <w:r w:rsidR="00C42B55" w:rsidRPr="00C42B55">
              <w:rPr>
                <w:bCs/>
              </w:rPr>
              <w:br/>
              <w:t>Validazione statistica e propagazione dell'incertezza nella generazione di popolazioni sintetiche georeferenziate per studi epidemiologici spaziali</w:t>
            </w:r>
          </w:p>
        </w:tc>
      </w:tr>
      <w:tr w:rsidR="00800D12" w:rsidRPr="004328B6" w14:paraId="4B2A1E2C" w14:textId="77777777" w:rsidTr="00B652CF">
        <w:trPr>
          <w:trHeight w:val="792"/>
        </w:trPr>
        <w:tc>
          <w:tcPr>
            <w:tcW w:w="9628" w:type="dxa"/>
            <w:tcBorders>
              <w:top w:val="single" w:sz="4" w:space="0" w:color="auto"/>
              <w:left w:val="single" w:sz="4" w:space="0" w:color="auto"/>
              <w:bottom w:val="single" w:sz="4" w:space="0" w:color="auto"/>
              <w:right w:val="single" w:sz="4" w:space="0" w:color="auto"/>
            </w:tcBorders>
            <w:vAlign w:val="center"/>
          </w:tcPr>
          <w:p w14:paraId="1491E83F" w14:textId="77777777" w:rsidR="00800D12" w:rsidRPr="004328B6" w:rsidRDefault="00800D12" w:rsidP="00800D12">
            <w:pPr>
              <w:autoSpaceDE w:val="0"/>
              <w:autoSpaceDN w:val="0"/>
              <w:adjustRightInd w:val="0"/>
              <w:spacing w:line="312" w:lineRule="auto"/>
              <w:ind w:left="5670" w:hanging="5670"/>
              <w:rPr>
                <w:b/>
              </w:rPr>
            </w:pPr>
            <w:r w:rsidRPr="004328B6">
              <w:rPr>
                <w:b/>
              </w:rPr>
              <w:t xml:space="preserve">DESCRIZIONE DEL PROGETTO DI RICERCA </w:t>
            </w:r>
          </w:p>
          <w:p w14:paraId="083ADDC3" w14:textId="45CF59AD" w:rsidR="002A72A7" w:rsidRPr="002A72A7" w:rsidRDefault="002A72A7" w:rsidP="002A72A7">
            <w:pPr>
              <w:autoSpaceDE w:val="0"/>
              <w:autoSpaceDN w:val="0"/>
              <w:adjustRightInd w:val="0"/>
              <w:spacing w:line="312" w:lineRule="auto"/>
              <w:jc w:val="both"/>
              <w:rPr>
                <w:bCs/>
              </w:rPr>
            </w:pPr>
            <w:r w:rsidRPr="002A72A7">
              <w:rPr>
                <w:bCs/>
              </w:rPr>
              <w:t>Le popolazioni sintetiche georeferenziate, ottenute combinando superfici grigliate di popolazione e conteggi demografici aggregati, possono fornire denominatori, basi di campionamento e popolazioni di riferimento quando dati individuali geo</w:t>
            </w:r>
            <w:r>
              <w:rPr>
                <w:bCs/>
              </w:rPr>
              <w:t>-</w:t>
            </w:r>
            <w:r w:rsidRPr="002A72A7">
              <w:rPr>
                <w:bCs/>
              </w:rPr>
              <w:t>codificati non siano disponibili, accessibili o utilizzabili per ragioni di riservatezza. Il loro impiego è di particolare interesse nell’epidemiologia ambientale, nell’analisi delle malattie rare e, più in generale, negli studi in cui la distribuzione della popolazione a rischio debba essere ricostruita a una scala spaziale più fine di quella dei dati ufficiali. La maggiore risoluzione apparente non garantisce tuttavia, da sola, una maggiore accuratezza: la qualità e la dipendenza delle fonti demografiche, le assunzioni adottate nella disaggregazione, la scala dei vincoli territoriali e la componente casuale della generazione possono introdurre errori locali e variabilità da valutare in rapporto allo specifico impiego epidemiologico.</w:t>
            </w:r>
          </w:p>
          <w:p w14:paraId="48E55C2C" w14:textId="69C09197" w:rsidR="0089078A" w:rsidRDefault="002A72A7" w:rsidP="002A72A7">
            <w:pPr>
              <w:autoSpaceDE w:val="0"/>
              <w:autoSpaceDN w:val="0"/>
              <w:adjustRightInd w:val="0"/>
              <w:spacing w:line="312" w:lineRule="auto"/>
              <w:jc w:val="both"/>
              <w:rPr>
                <w:bCs/>
              </w:rPr>
            </w:pPr>
            <w:r w:rsidRPr="002A72A7">
              <w:rPr>
                <w:bCs/>
              </w:rPr>
              <w:t>Il progetto ha l’obiettivo principale di valutare, in un insieme definito a priori di unità territoriali e periodi, l’accuratezza dei conteggi prodotti da popolazioni sintetiche a un livello non direttamente vincolato nella loro costruzione, di distinguere la variabilità tra generazioni replicate dalla sensibilità alle scelte costruttive e di quantificare l’effetto dell’incertezza del denominatore su casi attesi e indicatori standardizzati per piccola area. Saranno utilizzate superfici grigliate di popolazione stratificate per caratteristiche demografiche, conteggi ufficiali riferiti a unità territoriali di diversa ampiezza, confini amministrativi e dati relativi a più periodi in un contesto europeo ad alta disponibilità informativa. Il confronto primario riguarderà la scala dei vincoli territoriali e la componente casuale della generazione. La risoluzione della griglia, la collocazione degli individui entro cella e l’eventuale impiego di una seconda superficie demografica costituiranno analisi di sensibilità secondarie, attivate in base alla comparabilità dei dati e all’esito di una preliminare valutazione della sostenibilità computazionale.</w:t>
            </w:r>
          </w:p>
          <w:p w14:paraId="04AE36C4" w14:textId="2CF90EFC" w:rsidR="0089078A" w:rsidRPr="002A72A7" w:rsidRDefault="0089078A" w:rsidP="002A72A7">
            <w:pPr>
              <w:autoSpaceDE w:val="0"/>
              <w:autoSpaceDN w:val="0"/>
              <w:adjustRightInd w:val="0"/>
              <w:spacing w:line="312" w:lineRule="auto"/>
              <w:jc w:val="both"/>
              <w:rPr>
                <w:bCs/>
              </w:rPr>
            </w:pPr>
            <w:r w:rsidRPr="0089078A">
              <w:rPr>
                <w:bCs/>
              </w:rPr>
              <w:t xml:space="preserve">Il progetto consiste in analisi metodologico-statistiche secondarie su dati demografici aggregati, superfici grigliate di popolazione, dati simulati e, per le sole applicazioni epidemiologiche, dati di registro già disponibili nell’ambito di accordi istituzionali e autorizzazioni di accesso già formalizzati dagli enti titolari. Non sono previsti arruolamento o contatto con pazienti, interventi </w:t>
            </w:r>
            <w:r w:rsidRPr="0089078A">
              <w:rPr>
                <w:bCs/>
              </w:rPr>
              <w:lastRenderedPageBreak/>
              <w:t>diagnostici o terapeutici, né raccolta di nuovi dati personali. L’eventuale impiego di dati individuali resterà entro le finalità e le condizioni di accesso, riservatezza e sicurezza già autorizzate; nell’ambito della presente borsa non è pertanto prevista una nuova richiesta di valutazione da parte di un Comitato etico.</w:t>
            </w:r>
          </w:p>
          <w:p w14:paraId="4CEFDFF8" w14:textId="639301C6" w:rsidR="002A72A7" w:rsidRPr="002A72A7" w:rsidRDefault="002A72A7" w:rsidP="002A72A7">
            <w:pPr>
              <w:autoSpaceDE w:val="0"/>
              <w:autoSpaceDN w:val="0"/>
              <w:adjustRightInd w:val="0"/>
              <w:spacing w:line="312" w:lineRule="auto"/>
              <w:jc w:val="both"/>
              <w:rPr>
                <w:bCs/>
              </w:rPr>
            </w:pPr>
            <w:r w:rsidRPr="002A72A7">
              <w:rPr>
                <w:bCs/>
              </w:rPr>
              <w:t>Particolare attenzione sarà dedicata alla distinzione tra costruzione, calibrazione e validazione. La valutazione sarà condotta, quando possibile, su conteggi il cui valore non sia stato direttamente imposto nella generazione. Sarà inoltre ricostruita la provenienza delle fonti demografiche: qualora la superficie grigliata e i conteggi ufficiali utilizzati per il confronto condividano dati censuari, registri o procedure di proiezione, l’analisi sarà definita validazione fuori vincolo o temporale e non validazione esterna completamente indipendente. Ove sostenibile, potrà essere adottato un disegno di esclusione nel quale alcune unità del livello di vincolo più fine siano ricostruite utilizzando esclusivamente il vincolo gerarchicamente superiore e la superficie grigliata, conservando i corrispondenti conteggi ufficiali esclusivamente per la valutazione.</w:t>
            </w:r>
          </w:p>
          <w:p w14:paraId="4B8FDBEF" w14:textId="6117A7F3" w:rsidR="002A72A7" w:rsidRPr="002A72A7" w:rsidRDefault="002A72A7" w:rsidP="002A72A7">
            <w:pPr>
              <w:autoSpaceDE w:val="0"/>
              <w:autoSpaceDN w:val="0"/>
              <w:adjustRightInd w:val="0"/>
              <w:spacing w:line="312" w:lineRule="auto"/>
              <w:jc w:val="both"/>
              <w:rPr>
                <w:bCs/>
              </w:rPr>
            </w:pPr>
            <w:r w:rsidRPr="002A72A7">
              <w:rPr>
                <w:bCs/>
              </w:rPr>
              <w:t>Il piano statistico primario comprenderà l’errore firmato e assoluto, l’errore relativo o il log-rapporto, con una regola definita a priori per i conteggi nulli o molto piccoli, nonché l’errore assoluto medio e la radice dell’errore quadratico medio, anche in forma standardizzata. I risultati saranno esaminati per dimensione e densità della popolazione. Le correlazioni saranno riportate soltanto come descrizione dell’associazione e non come prova di accordo. Una relazione log-lineare tra conteggi sintetici e ufficiali sarà utilizzata come diagnostica della distorsione di scala, assumendo come riferimento un’intercetta nulla e una pendenza unitaria; orientamento della regressione ed eventuale costante aggiunta ai conteggi saranno definiti prima dell’analisi.</w:t>
            </w:r>
          </w:p>
          <w:p w14:paraId="222AE683" w14:textId="43885AFE" w:rsidR="002A72A7" w:rsidRPr="002A72A7" w:rsidRDefault="002A72A7" w:rsidP="002A72A7">
            <w:pPr>
              <w:autoSpaceDE w:val="0"/>
              <w:autoSpaceDN w:val="0"/>
              <w:adjustRightInd w:val="0"/>
              <w:spacing w:line="312" w:lineRule="auto"/>
              <w:jc w:val="both"/>
              <w:rPr>
                <w:bCs/>
              </w:rPr>
            </w:pPr>
            <w:r w:rsidRPr="002A72A7">
              <w:rPr>
                <w:bCs/>
              </w:rPr>
              <w:t xml:space="preserve">Qualora siano impiegati grafici differenza-media, per conteggi positivi sarà considerata anche l’analisi su scala logaritmica e saranno distinti il </w:t>
            </w:r>
            <w:r w:rsidRPr="002A72A7">
              <w:rPr>
                <w:bCs/>
                <w:i/>
                <w:iCs/>
              </w:rPr>
              <w:t>bias</w:t>
            </w:r>
            <w:r w:rsidRPr="002A72A7">
              <w:rPr>
                <w:bCs/>
              </w:rPr>
              <w:t xml:space="preserve"> medio, i limiti di accordo e i rispettivi intervalli di confidenza. Il numero di unità esterne all’intervallo di confidenza della media del </w:t>
            </w:r>
            <w:r w:rsidRPr="002A72A7">
              <w:rPr>
                <w:bCs/>
                <w:i/>
                <w:iCs/>
              </w:rPr>
              <w:t>bias</w:t>
            </w:r>
            <w:r w:rsidRPr="002A72A7">
              <w:rPr>
                <w:bCs/>
              </w:rPr>
              <w:t xml:space="preserve"> non sarà utilizzato come indicatore di accordo. Nel confronto con i dati reali, la proporzione di conteggi ufficiali inclusi negli intervalli empirici tra repliche sarà denominata tasso di inclusione; il termine copertura nominale sarà riservato agli scenari simulati nei quali il valore vero sia noto.</w:t>
            </w:r>
          </w:p>
          <w:p w14:paraId="5C1F7264" w14:textId="31B68E93" w:rsidR="002A72A7" w:rsidRPr="002A72A7" w:rsidRDefault="002A72A7" w:rsidP="002A72A7">
            <w:pPr>
              <w:autoSpaceDE w:val="0"/>
              <w:autoSpaceDN w:val="0"/>
              <w:adjustRightInd w:val="0"/>
              <w:spacing w:line="312" w:lineRule="auto"/>
              <w:jc w:val="both"/>
              <w:rPr>
                <w:bCs/>
              </w:rPr>
            </w:pPr>
            <w:r w:rsidRPr="002A72A7">
              <w:rPr>
                <w:bCs/>
              </w:rPr>
              <w:t>L’eteroschedasticità e l’autocorrelazione spaziale saranno valutate utilizzando un residuo primario definito prima dell’analisi, scelto tra log-rapporto ed errore standardizzato in funzione della distribuzione dei conteggi. Anche la matrice di prossimità territoriale sarà pre</w:t>
            </w:r>
            <w:r>
              <w:rPr>
                <w:bCs/>
              </w:rPr>
              <w:t>-</w:t>
            </w:r>
            <w:r w:rsidRPr="002A72A7">
              <w:rPr>
                <w:bCs/>
              </w:rPr>
              <w:t xml:space="preserve">specificata. Sarà impiegato un indicatore globale di autocorrelazione, mentre eventuali analisi locali avranno carattere esplorativo. Per gli anni selezionati sarà esaminata la coerenza dei risultati; una vera </w:t>
            </w:r>
            <w:r w:rsidRPr="002A72A7">
              <w:rPr>
                <w:bCs/>
              </w:rPr>
              <w:lastRenderedPageBreak/>
              <w:t>valutazione della stabilità temporale sarà effettuata soltanto qualora sia disponibile una serie annuale armonizzata per definizioni demografiche, geografiche e metodologiche.</w:t>
            </w:r>
          </w:p>
          <w:p w14:paraId="2F80E6C9" w14:textId="723D2512" w:rsidR="002A72A7" w:rsidRPr="002A72A7" w:rsidRDefault="002A72A7" w:rsidP="002A72A7">
            <w:pPr>
              <w:autoSpaceDE w:val="0"/>
              <w:autoSpaceDN w:val="0"/>
              <w:adjustRightInd w:val="0"/>
              <w:spacing w:line="312" w:lineRule="auto"/>
              <w:jc w:val="both"/>
              <w:rPr>
                <w:bCs/>
              </w:rPr>
            </w:pPr>
            <w:r w:rsidRPr="002A72A7">
              <w:rPr>
                <w:bCs/>
              </w:rPr>
              <w:t>La generazione ripetuta consentirà di caratterizzare la variabilità condizionale della procedura. La variabilità osservata tra repliche ottenute con la medesima configurazione sarà attribuita alla generazione Monte Carlo. Le differenze tra configurazioni pre</w:t>
            </w:r>
            <w:r>
              <w:rPr>
                <w:bCs/>
              </w:rPr>
              <w:t>-</w:t>
            </w:r>
            <w:r w:rsidRPr="002A72A7">
              <w:rPr>
                <w:bCs/>
              </w:rPr>
              <w:t>specificate saranno invece trattate come analisi di sensibilità o incertezza strutturale e non come una distribuzione probabilistica, salvo l’eventuale definizione di un modello esplicito o di pesi per le diverse alternative. Per ciascuna configurazione, i quantili delle repliche saranno riassunti mediante intervalli empirici di variabilità Monte Carlo; le differenze tra configurazioni saranno rappresentate separatamente mediante campi di variazione o profili di sensibilità. In tal modo il denominatore sintetico non sarà trattato come una quantità nota, senza tuttavia attribuire agli scenari strutturali un’interpretazione probabilistica non giustificata.</w:t>
            </w:r>
          </w:p>
          <w:p w14:paraId="69F89EF7" w14:textId="2942DB6E" w:rsidR="002A72A7" w:rsidRPr="002A72A7" w:rsidRDefault="002A72A7" w:rsidP="002A72A7">
            <w:pPr>
              <w:autoSpaceDE w:val="0"/>
              <w:autoSpaceDN w:val="0"/>
              <w:adjustRightInd w:val="0"/>
              <w:spacing w:line="312" w:lineRule="auto"/>
              <w:jc w:val="both"/>
              <w:rPr>
                <w:bCs/>
              </w:rPr>
            </w:pPr>
            <w:r w:rsidRPr="002A72A7">
              <w:rPr>
                <w:bCs/>
              </w:rPr>
              <w:t>La rilevanza epidemiologica sarà valutata ricalcolando, per ogni realizzazione della popolazione sintetica, persone-tempo, casi attesi e rapporti standardizzati di incidenza o mortalità. La distribuzione delle quantità ottenute tra le realizzazioni descriverà la componente di variabilità attribuibile al denominatore, condizionatamente ai casi osservati e ai tassi di riferimento. L’incertezza associata ai casi e ai tassi standard sarà descritta separatamente e, negli scenari simulati, potrà essere combinata con quella demografica.</w:t>
            </w:r>
          </w:p>
          <w:p w14:paraId="068EC237" w14:textId="34512D47" w:rsidR="002A72A7" w:rsidRPr="002A72A7" w:rsidRDefault="002A72A7" w:rsidP="002A72A7">
            <w:pPr>
              <w:autoSpaceDE w:val="0"/>
              <w:autoSpaceDN w:val="0"/>
              <w:adjustRightInd w:val="0"/>
              <w:spacing w:line="312" w:lineRule="auto"/>
              <w:jc w:val="both"/>
              <w:rPr>
                <w:bCs/>
              </w:rPr>
            </w:pPr>
            <w:r w:rsidRPr="002A72A7">
              <w:rPr>
                <w:bCs/>
              </w:rPr>
              <w:t>Il confronto con conteggi territoriali valuterà la corretta allocazione della popolazione tra aree, ma non dimostrerà l’accuratezza delle coordinate individuali sintetiche. Una validazione puntuale potrà essere effettuata soltanto in presenza di un riferimento indipendente a risoluzione sub</w:t>
            </w:r>
            <w:r>
              <w:rPr>
                <w:bCs/>
              </w:rPr>
              <w:t>-</w:t>
            </w:r>
            <w:r w:rsidRPr="002A72A7">
              <w:rPr>
                <w:bCs/>
              </w:rPr>
              <w:t>comunale. In sua assenza, la collocazione entro cella sarà trattata come un’assunzione strutturale e ne sarà studiato l’effetto sugli esiti epidemiologici, senza definirne il risultato come validazione puntuale.</w:t>
            </w:r>
          </w:p>
          <w:p w14:paraId="556BE034" w14:textId="70096AC0" w:rsidR="002A72A7" w:rsidRPr="002A72A7" w:rsidRDefault="002A72A7" w:rsidP="002A72A7">
            <w:pPr>
              <w:autoSpaceDE w:val="0"/>
              <w:autoSpaceDN w:val="0"/>
              <w:adjustRightInd w:val="0"/>
              <w:spacing w:line="312" w:lineRule="auto"/>
              <w:jc w:val="both"/>
              <w:rPr>
                <w:bCs/>
              </w:rPr>
            </w:pPr>
            <w:r w:rsidRPr="002A72A7">
              <w:rPr>
                <w:bCs/>
              </w:rPr>
              <w:t>Gli scenari simulati, in numero limitato e pre</w:t>
            </w:r>
            <w:r>
              <w:rPr>
                <w:bCs/>
              </w:rPr>
              <w:t>-</w:t>
            </w:r>
            <w:r w:rsidRPr="002A72A7">
              <w:rPr>
                <w:bCs/>
              </w:rPr>
              <w:t>specificato, comprenderanno uno scenario nullo e combinazioni selezionate di intensità ed estensione di un eccesso di rischio. Per un metodo spaziale scelto a priori saranno valutati l’errore di primo tipo, la potenza e, ove pertinente, una misura della capacità di localizzare il segnale rispetto alla configurazione vera. L’estensione a più metodi, a un ampio numero di scenari o ad analisi puntuali costituirà uno sviluppo opzionale e non una componente necessaria del progetto.</w:t>
            </w:r>
          </w:p>
          <w:p w14:paraId="61A18420" w14:textId="26851E9F" w:rsidR="002A72A7" w:rsidRDefault="002A72A7" w:rsidP="002A72A7">
            <w:pPr>
              <w:autoSpaceDE w:val="0"/>
              <w:autoSpaceDN w:val="0"/>
              <w:adjustRightInd w:val="0"/>
              <w:spacing w:line="312" w:lineRule="auto"/>
              <w:jc w:val="both"/>
              <w:rPr>
                <w:bCs/>
              </w:rPr>
            </w:pPr>
            <w:r w:rsidRPr="002A72A7">
              <w:rPr>
                <w:bCs/>
              </w:rPr>
              <w:t xml:space="preserve">L’obiettivo finale non è certificare in termini generali la validità di una singola popolazione sintetica, ma definire le condizioni nelle quali essa possa essere considerata adeguata allo specifico </w:t>
            </w:r>
            <w:r w:rsidRPr="002A72A7">
              <w:rPr>
                <w:bCs/>
              </w:rPr>
              <w:lastRenderedPageBreak/>
              <w:t>scopo epidemiologico, distinguendo gli ambiti nei quali l’errore risulti trascurabile da quelli nei quali debba essere incorporato nell’interpretazione e nell’inferenza. Il progetto produrrà un flusso di analisi riproducibile e criteri di valutazione trasferibili a contesti con fonti, scale territoriali e obiettivi comparabili; l’applicazione ad altri contesti richiederà comunque una nuova verifica dell’adeguatezza allo scopo d’uso.</w:t>
            </w:r>
          </w:p>
          <w:p w14:paraId="1F515C91" w14:textId="77777777" w:rsidR="00800D12" w:rsidRPr="002A72A7" w:rsidRDefault="00800D12" w:rsidP="00800D12">
            <w:pPr>
              <w:autoSpaceDE w:val="0"/>
              <w:autoSpaceDN w:val="0"/>
              <w:adjustRightInd w:val="0"/>
              <w:spacing w:line="312" w:lineRule="auto"/>
              <w:jc w:val="both"/>
              <w:rPr>
                <w:bCs/>
                <w:lang w:val="de-DE"/>
              </w:rPr>
            </w:pPr>
            <w:r w:rsidRPr="002A72A7">
              <w:rPr>
                <w:bCs/>
                <w:lang w:val="de-DE"/>
              </w:rPr>
              <w:t>---</w:t>
            </w:r>
          </w:p>
          <w:p w14:paraId="1587ACDC" w14:textId="77777777" w:rsidR="007E2DF5" w:rsidRPr="0089078A" w:rsidRDefault="002A72A7" w:rsidP="00800D12">
            <w:pPr>
              <w:autoSpaceDE w:val="0"/>
              <w:autoSpaceDN w:val="0"/>
              <w:adjustRightInd w:val="0"/>
              <w:spacing w:line="312" w:lineRule="auto"/>
              <w:jc w:val="both"/>
              <w:rPr>
                <w:lang w:val="en-US"/>
              </w:rPr>
            </w:pPr>
            <w:r w:rsidRPr="002A72A7">
              <w:rPr>
                <w:bCs/>
                <w:lang w:val="de-DE"/>
              </w:rPr>
              <w:t xml:space="preserve">Archila Bustos, M. F., Hall, O., Niedomysl, T., &amp; Ernstson, U. (2020). </w:t>
            </w:r>
            <w:r w:rsidRPr="002A72A7">
              <w:rPr>
                <w:bCs/>
                <w:lang w:val="en-US"/>
              </w:rPr>
              <w:t xml:space="preserve">A pixel level evaluation of five multitemporal global gridded population datasets: A case study in Sweden, 1990–2015. </w:t>
            </w:r>
            <w:r w:rsidRPr="007E2DF5">
              <w:rPr>
                <w:bCs/>
                <w:i/>
                <w:iCs/>
                <w:lang w:val="en-US"/>
              </w:rPr>
              <w:t>Population and Environment, 42</w:t>
            </w:r>
            <w:r w:rsidRPr="007E2DF5">
              <w:rPr>
                <w:bCs/>
                <w:lang w:val="en-US"/>
              </w:rPr>
              <w:t xml:space="preserve">, 255–277. </w:t>
            </w:r>
            <w:hyperlink r:id="rId11" w:history="1">
              <w:r w:rsidRPr="007E2DF5">
                <w:rPr>
                  <w:rStyle w:val="Collegamentoipertestuale"/>
                  <w:bCs/>
                  <w:lang w:val="en-US"/>
                </w:rPr>
                <w:t>https://doi.org/10.1007/s11111-020-00360-8</w:t>
              </w:r>
            </w:hyperlink>
          </w:p>
          <w:p w14:paraId="577E5E99" w14:textId="1B15270C" w:rsidR="00800D12" w:rsidRDefault="00800D12" w:rsidP="00800D12">
            <w:pPr>
              <w:autoSpaceDE w:val="0"/>
              <w:autoSpaceDN w:val="0"/>
              <w:adjustRightInd w:val="0"/>
              <w:spacing w:line="312" w:lineRule="auto"/>
              <w:jc w:val="both"/>
              <w:rPr>
                <w:bCs/>
                <w:lang w:val="en-US"/>
              </w:rPr>
            </w:pPr>
            <w:r w:rsidRPr="0089078A">
              <w:rPr>
                <w:bCs/>
                <w:lang w:val="en-US"/>
              </w:rPr>
              <w:t xml:space="preserve">Bland, J. M., &amp; Altman, D. G. (1999). </w:t>
            </w:r>
            <w:r w:rsidRPr="00800D12">
              <w:rPr>
                <w:bCs/>
                <w:lang w:val="en-US"/>
              </w:rPr>
              <w:t xml:space="preserve">Measuring agreement in method comparison studies. </w:t>
            </w:r>
            <w:r w:rsidRPr="00800D12">
              <w:rPr>
                <w:bCs/>
                <w:i/>
                <w:iCs/>
                <w:lang w:val="en-US"/>
              </w:rPr>
              <w:t>Statistical Methods in Medical Research, 8</w:t>
            </w:r>
            <w:r w:rsidRPr="00800D12">
              <w:rPr>
                <w:bCs/>
                <w:lang w:val="en-US"/>
              </w:rPr>
              <w:t>(2), 135–160.</w:t>
            </w:r>
            <w:r>
              <w:rPr>
                <w:bCs/>
                <w:lang w:val="en-US"/>
              </w:rPr>
              <w:t xml:space="preserve"> </w:t>
            </w:r>
            <w:hyperlink r:id="rId12" w:history="1">
              <w:r w:rsidRPr="006D36FB">
                <w:rPr>
                  <w:rStyle w:val="Collegamentoipertestuale"/>
                  <w:bCs/>
                  <w:lang w:val="en-US"/>
                </w:rPr>
                <w:t>https://doi.org/10.1177/096228029900800204</w:t>
              </w:r>
            </w:hyperlink>
          </w:p>
          <w:p w14:paraId="670D67DB" w14:textId="4175975D" w:rsidR="00800D12" w:rsidRDefault="00800D12" w:rsidP="00800D12">
            <w:pPr>
              <w:autoSpaceDE w:val="0"/>
              <w:autoSpaceDN w:val="0"/>
              <w:adjustRightInd w:val="0"/>
              <w:spacing w:line="312" w:lineRule="auto"/>
              <w:jc w:val="both"/>
              <w:rPr>
                <w:bCs/>
                <w:lang w:val="en-US"/>
              </w:rPr>
            </w:pPr>
            <w:r w:rsidRPr="00800D12">
              <w:rPr>
                <w:bCs/>
                <w:lang w:val="en-US"/>
              </w:rPr>
              <w:t xml:space="preserve">Jeffery, C., Ozonoff, A., &amp; Pagano, M. (2014). The effect of spatial aggregation on performance when mapping a risk of disease. </w:t>
            </w:r>
            <w:r w:rsidRPr="00800D12">
              <w:rPr>
                <w:bCs/>
                <w:i/>
                <w:iCs/>
                <w:lang w:val="en-US"/>
              </w:rPr>
              <w:t>International Journal of Health Geographics, 13</w:t>
            </w:r>
            <w:r w:rsidRPr="00800D12">
              <w:rPr>
                <w:bCs/>
                <w:lang w:val="en-US"/>
              </w:rPr>
              <w:t xml:space="preserve">, Article 9. </w:t>
            </w:r>
            <w:hyperlink r:id="rId13" w:history="1">
              <w:r w:rsidRPr="006D36FB">
                <w:rPr>
                  <w:rStyle w:val="Collegamentoipertestuale"/>
                  <w:bCs/>
                  <w:lang w:val="en-US"/>
                </w:rPr>
                <w:t>https://doi.org/10.1186/1476-072X-13-9</w:t>
              </w:r>
            </w:hyperlink>
          </w:p>
          <w:p w14:paraId="6AFC2956" w14:textId="3C3F51B0" w:rsidR="00800D12" w:rsidRDefault="00800D12" w:rsidP="00800D12">
            <w:pPr>
              <w:autoSpaceDE w:val="0"/>
              <w:autoSpaceDN w:val="0"/>
              <w:adjustRightInd w:val="0"/>
              <w:spacing w:line="312" w:lineRule="auto"/>
              <w:jc w:val="both"/>
              <w:rPr>
                <w:bCs/>
                <w:lang w:val="en-US"/>
              </w:rPr>
            </w:pPr>
            <w:r w:rsidRPr="00800D12">
              <w:rPr>
                <w:bCs/>
                <w:lang w:val="en-US"/>
              </w:rPr>
              <w:t xml:space="preserve">Leyk, S., Gaughan, A. E., Adamo, S. B., de Sherbinin, A., Balk, D., Freire, S., Rose, A., Stevens, F. R., Blankespoor, B., Frye, C., Comenetz, J., Sorichetta, A., MacManus, K., Pistolesi, L., Levy, M., Tatem, A. J., &amp; Pesaresi, M. (2019). The spatial allocation of population: A review of large-scale gridded population data products and their fitness for use. </w:t>
            </w:r>
            <w:r w:rsidRPr="00800D12">
              <w:rPr>
                <w:bCs/>
                <w:i/>
                <w:iCs/>
                <w:lang w:val="en-US"/>
              </w:rPr>
              <w:t>Earth System Science Data, 11</w:t>
            </w:r>
            <w:r w:rsidRPr="00800D12">
              <w:rPr>
                <w:bCs/>
                <w:lang w:val="en-US"/>
              </w:rPr>
              <w:t xml:space="preserve">(3), 1385–1409. </w:t>
            </w:r>
            <w:hyperlink r:id="rId14" w:history="1">
              <w:r w:rsidRPr="006D36FB">
                <w:rPr>
                  <w:rStyle w:val="Collegamentoipertestuale"/>
                  <w:bCs/>
                  <w:lang w:val="en-US"/>
                </w:rPr>
                <w:t>https://doi.org/10.5194/essd-11-1385-2019</w:t>
              </w:r>
            </w:hyperlink>
          </w:p>
          <w:p w14:paraId="07E6A3BA" w14:textId="4A223F35" w:rsidR="00800D12" w:rsidRDefault="00800D12" w:rsidP="00800D12">
            <w:pPr>
              <w:autoSpaceDE w:val="0"/>
              <w:autoSpaceDN w:val="0"/>
              <w:adjustRightInd w:val="0"/>
              <w:spacing w:line="312" w:lineRule="auto"/>
              <w:jc w:val="both"/>
              <w:rPr>
                <w:bCs/>
                <w:lang w:val="en-US"/>
              </w:rPr>
            </w:pPr>
            <w:r w:rsidRPr="00800D12">
              <w:rPr>
                <w:bCs/>
                <w:lang w:val="en-US"/>
              </w:rPr>
              <w:t xml:space="preserve">Stevens, F. R., Gaughan, A. E., Linard, C., &amp; Tatem, A. J. (2015). Disaggregating census data for population mapping using random forests with remotely-sensed and ancillary data. </w:t>
            </w:r>
            <w:r w:rsidRPr="00800D12">
              <w:rPr>
                <w:bCs/>
                <w:i/>
                <w:iCs/>
                <w:lang w:val="en-US"/>
              </w:rPr>
              <w:t>PLOS ONE, 10</w:t>
            </w:r>
            <w:r w:rsidRPr="00800D12">
              <w:rPr>
                <w:bCs/>
                <w:lang w:val="en-US"/>
              </w:rPr>
              <w:t xml:space="preserve">(2), e0107042. </w:t>
            </w:r>
            <w:hyperlink r:id="rId15" w:history="1">
              <w:r w:rsidRPr="006D36FB">
                <w:rPr>
                  <w:rStyle w:val="Collegamentoipertestuale"/>
                  <w:bCs/>
                  <w:lang w:val="en-US"/>
                </w:rPr>
                <w:t>https://doi.org/10.1371/journal.pone.0107042</w:t>
              </w:r>
            </w:hyperlink>
          </w:p>
          <w:p w14:paraId="145EB34E" w14:textId="7F98C929" w:rsidR="00800D12" w:rsidRDefault="00800D12" w:rsidP="00800D12">
            <w:pPr>
              <w:autoSpaceDE w:val="0"/>
              <w:autoSpaceDN w:val="0"/>
              <w:adjustRightInd w:val="0"/>
              <w:spacing w:line="312" w:lineRule="auto"/>
              <w:jc w:val="both"/>
              <w:rPr>
                <w:bCs/>
                <w:lang w:val="en-US"/>
              </w:rPr>
            </w:pPr>
            <w:r w:rsidRPr="00800D12">
              <w:rPr>
                <w:bCs/>
                <w:lang w:val="en-US"/>
              </w:rPr>
              <w:t xml:space="preserve">Tatem, A. J. (2022). Small area population denominators for improved disease surveillance and response. </w:t>
            </w:r>
            <w:r w:rsidRPr="00800D12">
              <w:rPr>
                <w:bCs/>
                <w:i/>
                <w:iCs/>
                <w:lang w:val="en-US"/>
              </w:rPr>
              <w:t>Epidemics, 41</w:t>
            </w:r>
            <w:r w:rsidRPr="00800D12">
              <w:rPr>
                <w:bCs/>
                <w:lang w:val="en-US"/>
              </w:rPr>
              <w:t xml:space="preserve">, 100639. </w:t>
            </w:r>
            <w:hyperlink r:id="rId16" w:history="1">
              <w:r w:rsidRPr="006D36FB">
                <w:rPr>
                  <w:rStyle w:val="Collegamentoipertestuale"/>
                  <w:bCs/>
                  <w:lang w:val="en-US"/>
                </w:rPr>
                <w:t>https://doi.org/10.1016/j.epidem.2022.100639</w:t>
              </w:r>
            </w:hyperlink>
          </w:p>
          <w:p w14:paraId="706AC590" w14:textId="0C286EEB" w:rsidR="00800D12" w:rsidRPr="008C3EA5" w:rsidRDefault="00800D12" w:rsidP="008C3EA5">
            <w:pPr>
              <w:autoSpaceDE w:val="0"/>
              <w:autoSpaceDN w:val="0"/>
              <w:adjustRightInd w:val="0"/>
              <w:spacing w:line="312" w:lineRule="auto"/>
              <w:jc w:val="both"/>
              <w:rPr>
                <w:bCs/>
                <w:lang w:val="en-US"/>
              </w:rPr>
            </w:pPr>
            <w:r w:rsidRPr="00800D12">
              <w:rPr>
                <w:bCs/>
                <w:lang w:val="en-US"/>
              </w:rPr>
              <w:t xml:space="preserve">Waller, L. A. (1996). Statistical power and design of focused clustering studies. </w:t>
            </w:r>
            <w:r w:rsidRPr="00800D12">
              <w:rPr>
                <w:bCs/>
                <w:i/>
                <w:iCs/>
                <w:lang w:val="en-US"/>
              </w:rPr>
              <w:t>Statistics in Medicine, 15</w:t>
            </w:r>
            <w:r w:rsidRPr="00800D12">
              <w:rPr>
                <w:bCs/>
                <w:lang w:val="en-US"/>
              </w:rPr>
              <w:t xml:space="preserve">(8), 765–782. </w:t>
            </w:r>
            <w:hyperlink r:id="rId17" w:history="1">
              <w:r w:rsidR="008C3EA5" w:rsidRPr="006D36FB">
                <w:rPr>
                  <w:rStyle w:val="Collegamentoipertestuale"/>
                  <w:bCs/>
                  <w:lang w:val="en-US"/>
                </w:rPr>
                <w:t>https://doi.org/10.1002/%28SICI%291097-0258%2819960430%2915%3A8%3C765%3A%3AAID-SIM242%3E3.0.CO%3B2-T</w:t>
              </w:r>
            </w:hyperlink>
          </w:p>
        </w:tc>
      </w:tr>
      <w:tr w:rsidR="00B652CF" w:rsidRPr="004328B6" w14:paraId="4F36A28C" w14:textId="77777777" w:rsidTr="007E2DF5">
        <w:trPr>
          <w:trHeight w:val="3109"/>
        </w:trPr>
        <w:tc>
          <w:tcPr>
            <w:tcW w:w="9628" w:type="dxa"/>
            <w:tcBorders>
              <w:top w:val="single" w:sz="4" w:space="0" w:color="auto"/>
              <w:left w:val="single" w:sz="4" w:space="0" w:color="auto"/>
              <w:bottom w:val="single" w:sz="4" w:space="0" w:color="auto"/>
              <w:right w:val="single" w:sz="4" w:space="0" w:color="auto"/>
            </w:tcBorders>
          </w:tcPr>
          <w:p w14:paraId="0D5EB2FD" w14:textId="1A992595" w:rsidR="00E56FDE" w:rsidRPr="004328B6" w:rsidRDefault="005E34ED" w:rsidP="004328B6">
            <w:pPr>
              <w:autoSpaceDE w:val="0"/>
              <w:autoSpaceDN w:val="0"/>
              <w:adjustRightInd w:val="0"/>
              <w:spacing w:line="312" w:lineRule="auto"/>
              <w:ind w:left="5670" w:hanging="5670"/>
              <w:rPr>
                <w:b/>
              </w:rPr>
            </w:pPr>
            <w:r w:rsidRPr="004328B6">
              <w:rPr>
                <w:b/>
              </w:rPr>
              <w:lastRenderedPageBreak/>
              <w:t>DESCRIZIONE DELLE ATTIVIT</w:t>
            </w:r>
            <w:r w:rsidR="00C42B55">
              <w:rPr>
                <w:b/>
              </w:rPr>
              <w:t>À</w:t>
            </w:r>
            <w:r w:rsidRPr="004328B6">
              <w:rPr>
                <w:b/>
              </w:rPr>
              <w:t xml:space="preserve"> DEL</w:t>
            </w:r>
            <w:r w:rsidR="008C3EA5">
              <w:rPr>
                <w:b/>
              </w:rPr>
              <w:t>LA</w:t>
            </w:r>
            <w:r w:rsidRPr="004328B6">
              <w:rPr>
                <w:b/>
              </w:rPr>
              <w:t xml:space="preserve"> BORSISTA </w:t>
            </w:r>
            <w:r w:rsidR="008C3EA5">
              <w:rPr>
                <w:b/>
              </w:rPr>
              <w:t>O DEL BORSISTA</w:t>
            </w:r>
          </w:p>
          <w:p w14:paraId="25BDCBB5" w14:textId="77777777" w:rsidR="002A72A7" w:rsidRPr="002A72A7" w:rsidRDefault="002A72A7" w:rsidP="002A72A7">
            <w:pPr>
              <w:autoSpaceDE w:val="0"/>
              <w:autoSpaceDN w:val="0"/>
              <w:adjustRightInd w:val="0"/>
              <w:spacing w:line="312" w:lineRule="auto"/>
              <w:jc w:val="both"/>
              <w:rPr>
                <w:bCs/>
              </w:rPr>
            </w:pPr>
            <w:r w:rsidRPr="002A72A7">
              <w:rPr>
                <w:bCs/>
              </w:rPr>
              <w:t xml:space="preserve">• Primo mese: ricognizione critica delle fonti demografiche e territoriali disponibili e definizione del piano statistico. Saranno considerate superfici grigliate di popolazione stratificate per età, in primo luogo </w:t>
            </w:r>
            <w:r w:rsidRPr="002A72A7">
              <w:rPr>
                <w:bCs/>
                <w:i/>
                <w:iCs/>
              </w:rPr>
              <w:t>WorldPop</w:t>
            </w:r>
            <w:r w:rsidRPr="002A72A7">
              <w:rPr>
                <w:bCs/>
              </w:rPr>
              <w:t>, conteggi ufficiali riferiti a differenti livelli amministrativi e confini territoriali relativi agli anni di interesse. Entro il primo mese saranno definiti gli anni, la popolazione di riferimento, la geografia comune e le regole di raccordo tra confini storici.</w:t>
            </w:r>
          </w:p>
          <w:p w14:paraId="1D4053DE" w14:textId="77777777" w:rsidR="002A72A7" w:rsidRPr="002A72A7" w:rsidRDefault="002A72A7" w:rsidP="002A72A7">
            <w:pPr>
              <w:autoSpaceDE w:val="0"/>
              <w:autoSpaceDN w:val="0"/>
              <w:adjustRightInd w:val="0"/>
              <w:spacing w:line="312" w:lineRule="auto"/>
              <w:jc w:val="both"/>
              <w:rPr>
                <w:bCs/>
              </w:rPr>
            </w:pPr>
            <w:r w:rsidRPr="002A72A7">
              <w:rPr>
                <w:bCs/>
              </w:rPr>
              <w:t>• Primo mese: realizzazione di uno studio pilota su un sottoinsieme dei dati per stimare tempi di esecuzione, memoria richiesta e numero sostenibile di repliche e configurazioni. I risultati del pilot determineranno l’ampiezza delle analisi secondarie e il numero di generazioni replicate.</w:t>
            </w:r>
          </w:p>
          <w:p w14:paraId="320341C7" w14:textId="77777777" w:rsidR="002A72A7" w:rsidRPr="002A72A7" w:rsidRDefault="002A72A7" w:rsidP="002A72A7">
            <w:pPr>
              <w:autoSpaceDE w:val="0"/>
              <w:autoSpaceDN w:val="0"/>
              <w:adjustRightInd w:val="0"/>
              <w:spacing w:line="312" w:lineRule="auto"/>
              <w:jc w:val="both"/>
              <w:rPr>
                <w:bCs/>
              </w:rPr>
            </w:pPr>
            <w:r w:rsidRPr="002A72A7">
              <w:rPr>
                <w:bCs/>
              </w:rPr>
              <w:t>• Primo e secondo mese: predisposizione e controllo dei dati mediante verifica della coerenza temporale e geografica, armonizzazione delle classi di età, gestione delle modifiche dei confini amministrativi e costruzione degli archivi necessari. Saranno distinti i conteggi utilizzati come vincoli da quelli conservati per la validazione e sarà verificata l’eventuale condivisione delle fonti censuarie o amministrative tra superficie grigliata e dati ufficiali.</w:t>
            </w:r>
          </w:p>
          <w:p w14:paraId="778EC713" w14:textId="77777777" w:rsidR="002A72A7" w:rsidRPr="002A72A7" w:rsidRDefault="002A72A7" w:rsidP="002A72A7">
            <w:pPr>
              <w:autoSpaceDE w:val="0"/>
              <w:autoSpaceDN w:val="0"/>
              <w:adjustRightInd w:val="0"/>
              <w:spacing w:line="312" w:lineRule="auto"/>
              <w:jc w:val="both"/>
              <w:rPr>
                <w:bCs/>
              </w:rPr>
            </w:pPr>
            <w:r w:rsidRPr="002A72A7">
              <w:rPr>
                <w:bCs/>
              </w:rPr>
              <w:t>• Secondo e terzo mese: generazione ripetuta delle popolazioni sintetiche secondo un numero limitato di livelli di vincolo territoriale. Le repliche destinate alla validazione dei conteggi saranno prodotte a livello di celle o aree mediante campionamento multinomiale o procedure aggregate equivalenti, evitando di materializzare inutilmente tutte le coordinate individuali. Le coordinate saranno generate soltanto per le configurazioni e le repliche necessarie alle eventuali analisi puntuali.</w:t>
            </w:r>
          </w:p>
          <w:p w14:paraId="0ADFF3A1" w14:textId="77777777" w:rsidR="002A72A7" w:rsidRPr="002A72A7" w:rsidRDefault="002A72A7" w:rsidP="002A72A7">
            <w:pPr>
              <w:autoSpaceDE w:val="0"/>
              <w:autoSpaceDN w:val="0"/>
              <w:adjustRightInd w:val="0"/>
              <w:spacing w:line="312" w:lineRule="auto"/>
              <w:jc w:val="both"/>
              <w:rPr>
                <w:bCs/>
              </w:rPr>
            </w:pPr>
            <w:r w:rsidRPr="002A72A7">
              <w:rPr>
                <w:bCs/>
              </w:rPr>
              <w:t>• Secondo e terzo mese: confronto primario tra scala dei vincoli territoriali e componente casuale della generazione. La risoluzione della griglia e la modalità di collocazione entro cella saranno considerate analisi di sensibilità secondarie. Il confronto con un secondo prodotto grigliato sarà effettuato esclusivamente come sviluppo opzionale, qualora rappresenti la stessa popolazione di riferimento e possa essere armonizzato senza compromettere il completamento delle analisi principali.</w:t>
            </w:r>
          </w:p>
          <w:p w14:paraId="1B7D6EC7" w14:textId="77777777" w:rsidR="002A72A7" w:rsidRPr="002A72A7" w:rsidRDefault="002A72A7" w:rsidP="002A72A7">
            <w:pPr>
              <w:autoSpaceDE w:val="0"/>
              <w:autoSpaceDN w:val="0"/>
              <w:adjustRightInd w:val="0"/>
              <w:spacing w:line="312" w:lineRule="auto"/>
              <w:jc w:val="both"/>
              <w:rPr>
                <w:bCs/>
              </w:rPr>
            </w:pPr>
            <w:r w:rsidRPr="002A72A7">
              <w:rPr>
                <w:bCs/>
              </w:rPr>
              <w:t>• Terzo e quarto mese: validazione fuori vincolo mediante confronto con conteggi ufficiali non direttamente imposti nella generazione. Ove sostenibile, sarà adottato un disegno di esclusione nel quale gruppi di unità del livello di vincolo più fine siano ricostruiti mediante il solo vincolo gerarchicamente superiore e la superficie grigliata, mantenendo i corrispondenti conteggi ufficiali esclusivamente per la valutazione.</w:t>
            </w:r>
          </w:p>
          <w:p w14:paraId="0BAFDEDF" w14:textId="7C9D1112" w:rsidR="002A72A7" w:rsidRPr="002A72A7" w:rsidRDefault="002A72A7" w:rsidP="002A72A7">
            <w:pPr>
              <w:autoSpaceDE w:val="0"/>
              <w:autoSpaceDN w:val="0"/>
              <w:adjustRightInd w:val="0"/>
              <w:spacing w:line="312" w:lineRule="auto"/>
              <w:jc w:val="both"/>
              <w:rPr>
                <w:bCs/>
              </w:rPr>
            </w:pPr>
            <w:r w:rsidRPr="002A72A7">
              <w:rPr>
                <w:bCs/>
              </w:rPr>
              <w:lastRenderedPageBreak/>
              <w:t>• Terzo e quarto mese: valutazione mediante errore firmato e assoluto, misura relativa o log-rapporto con regola pre</w:t>
            </w:r>
            <w:r>
              <w:rPr>
                <w:bCs/>
              </w:rPr>
              <w:t>-</w:t>
            </w:r>
            <w:r w:rsidRPr="002A72A7">
              <w:rPr>
                <w:bCs/>
              </w:rPr>
              <w:t>specificata per conteggi nulli o piccoli, MAE e RMSE anche standardizzati. I risultati saranno esaminati per dimensione e densità della popolazione. Saranno inoltre studiate la distorsione di scala, l’eteroschedasticità, la coerenza tra gli anni selezionati e l’autocorrelazione spaziale globale di un residuo e di una matrice di prossimità definiti prima dell’analisi. Le correlazioni saranno riportate soltanto come misure descrittive.</w:t>
            </w:r>
          </w:p>
          <w:p w14:paraId="78896A01" w14:textId="77777777" w:rsidR="002A72A7" w:rsidRPr="002A72A7" w:rsidRDefault="002A72A7" w:rsidP="002A72A7">
            <w:pPr>
              <w:autoSpaceDE w:val="0"/>
              <w:autoSpaceDN w:val="0"/>
              <w:adjustRightInd w:val="0"/>
              <w:spacing w:line="312" w:lineRule="auto"/>
              <w:jc w:val="both"/>
              <w:rPr>
                <w:bCs/>
              </w:rPr>
            </w:pPr>
            <w:r w:rsidRPr="002A72A7">
              <w:rPr>
                <w:bCs/>
              </w:rPr>
              <w:t>• Terzo e quarto mese: quantificazione della variabilità Monte Carlo mediante generazioni replicate entro ciascuna configurazione. Il numero di repliche sarà stabilito sulla base del pilot e della stabilità delle misure riassuntive prescelte. I quantili tra repliche saranno utilizzati per descrivere la variabilità condizionale della procedura e per calcolare il tasso di inclusione dei conteggi ufficiali. Le differenze tra configurazioni saranno riportate separatamente come analisi di sensibilità strutturale.</w:t>
            </w:r>
          </w:p>
          <w:p w14:paraId="0C43FC00" w14:textId="77777777" w:rsidR="002A72A7" w:rsidRPr="002A72A7" w:rsidRDefault="002A72A7" w:rsidP="002A72A7">
            <w:pPr>
              <w:autoSpaceDE w:val="0"/>
              <w:autoSpaceDN w:val="0"/>
              <w:adjustRightInd w:val="0"/>
              <w:spacing w:line="312" w:lineRule="auto"/>
              <w:jc w:val="both"/>
              <w:rPr>
                <w:bCs/>
              </w:rPr>
            </w:pPr>
            <w:r w:rsidRPr="002A72A7">
              <w:rPr>
                <w:bCs/>
              </w:rPr>
              <w:t>• Dal terzo mese: predisposizione della struttura del manoscritto, redazione delle sezioni Introduzione e Metodi e preparazione di tabelle e figure prototipo, da aggiornare durante lo svolgimento delle analisi.</w:t>
            </w:r>
          </w:p>
          <w:p w14:paraId="27F75A47" w14:textId="77777777" w:rsidR="002A72A7" w:rsidRPr="002A72A7" w:rsidRDefault="002A72A7" w:rsidP="002A72A7">
            <w:pPr>
              <w:autoSpaceDE w:val="0"/>
              <w:autoSpaceDN w:val="0"/>
              <w:adjustRightInd w:val="0"/>
              <w:spacing w:line="312" w:lineRule="auto"/>
              <w:jc w:val="both"/>
              <w:rPr>
                <w:bCs/>
              </w:rPr>
            </w:pPr>
            <w:r w:rsidRPr="002A72A7">
              <w:rPr>
                <w:bCs/>
              </w:rPr>
              <w:t>• Quarto e quinto mese: propagazione della variabilità del denominatore mediante ricalcolo, per ciascuna realizzazione sintetica, delle persone-tempo, dei casi attesi e di un indicatore standardizzato per piccola area. L’applicazione farà riferimento a un raro esito sanitario in età pediatrica studiato in un contesto europeo ad alta disponibilità informativa. La variabilità derivante dal denominatore sarà distinta da quella associata ai casi osservati e ai tassi di riferimento.</w:t>
            </w:r>
          </w:p>
          <w:p w14:paraId="095AE20D" w14:textId="37361736" w:rsidR="002A72A7" w:rsidRPr="002A72A7" w:rsidRDefault="002A72A7" w:rsidP="002A72A7">
            <w:pPr>
              <w:autoSpaceDE w:val="0"/>
              <w:autoSpaceDN w:val="0"/>
              <w:adjustRightInd w:val="0"/>
              <w:spacing w:line="312" w:lineRule="auto"/>
              <w:jc w:val="both"/>
              <w:rPr>
                <w:bCs/>
              </w:rPr>
            </w:pPr>
            <w:r w:rsidRPr="002A72A7">
              <w:rPr>
                <w:bCs/>
              </w:rPr>
              <w:t>• Quarto e quinto mese: realizzazione di una simulazione essenziale per piccola area, comprendente uno scenario nullo e un numero limitato di scenari con eccessi di rischio di intensità ed estensione pre</w:t>
            </w:r>
            <w:r>
              <w:rPr>
                <w:bCs/>
              </w:rPr>
              <w:t>-</w:t>
            </w:r>
            <w:r w:rsidRPr="002A72A7">
              <w:rPr>
                <w:bCs/>
              </w:rPr>
              <w:t>specificate. Per un metodo spaziale scelto a priori saranno valutati errore di primo tipo e potenza e, ove pertinente, la localizzazione del segnale. La validazione puntuale, il confronto con un secondo prodotto e il confronto tra più metodi spaziali saranno sviluppi alternativi e non cumulativi.</w:t>
            </w:r>
          </w:p>
          <w:p w14:paraId="2D511E68" w14:textId="31253CDF" w:rsidR="002A72A7" w:rsidRPr="002A72A7" w:rsidRDefault="002A72A7" w:rsidP="002A72A7">
            <w:pPr>
              <w:autoSpaceDE w:val="0"/>
              <w:autoSpaceDN w:val="0"/>
              <w:adjustRightInd w:val="0"/>
              <w:spacing w:line="312" w:lineRule="auto"/>
              <w:jc w:val="both"/>
              <w:rPr>
                <w:bCs/>
              </w:rPr>
            </w:pPr>
            <w:r w:rsidRPr="002A72A7">
              <w:rPr>
                <w:bCs/>
              </w:rPr>
              <w:t>• Qualora non sia disponibile un riferimento indipendente a risoluzione sub</w:t>
            </w:r>
            <w:r>
              <w:rPr>
                <w:bCs/>
              </w:rPr>
              <w:t>-</w:t>
            </w:r>
            <w:r w:rsidRPr="002A72A7">
              <w:rPr>
                <w:bCs/>
              </w:rPr>
              <w:t>comunale, le coordinate sintetiche non saranno dichiarate validate. In tal caso, la collocazione entro cella sarà trattata come un’assunzione strutturale e ne sarà valutato l’effetto sui denominatori, sui casi attesi e sugli indicatori per piccola area.</w:t>
            </w:r>
          </w:p>
          <w:p w14:paraId="025739A7" w14:textId="7C607876" w:rsidR="002A72A7" w:rsidRPr="002A72A7" w:rsidRDefault="002A72A7" w:rsidP="002A72A7">
            <w:pPr>
              <w:autoSpaceDE w:val="0"/>
              <w:autoSpaceDN w:val="0"/>
              <w:adjustRightInd w:val="0"/>
              <w:spacing w:line="312" w:lineRule="auto"/>
              <w:jc w:val="both"/>
              <w:rPr>
                <w:bCs/>
              </w:rPr>
            </w:pPr>
            <w:r w:rsidRPr="002A72A7">
              <w:rPr>
                <w:bCs/>
              </w:rPr>
              <w:t xml:space="preserve">• Intero periodo: svolgimento delle analisi in ambiente R, con impiego di strumenti per la gestione dei dati territoriali e raster, in particolare i pacchetti </w:t>
            </w:r>
            <w:r>
              <w:rPr>
                <w:bCs/>
              </w:rPr>
              <w:t>‘</w:t>
            </w:r>
            <w:r w:rsidRPr="002A72A7">
              <w:rPr>
                <w:bCs/>
              </w:rPr>
              <w:t>sf</w:t>
            </w:r>
            <w:r>
              <w:rPr>
                <w:bCs/>
              </w:rPr>
              <w:t>’</w:t>
            </w:r>
            <w:r w:rsidRPr="002A72A7">
              <w:rPr>
                <w:bCs/>
              </w:rPr>
              <w:t xml:space="preserve"> e </w:t>
            </w:r>
            <w:r>
              <w:rPr>
                <w:bCs/>
              </w:rPr>
              <w:t>‘</w:t>
            </w:r>
            <w:r w:rsidRPr="002A72A7">
              <w:rPr>
                <w:bCs/>
              </w:rPr>
              <w:t>terra</w:t>
            </w:r>
            <w:r>
              <w:rPr>
                <w:bCs/>
              </w:rPr>
              <w:t>’</w:t>
            </w:r>
            <w:r w:rsidRPr="002A72A7">
              <w:rPr>
                <w:bCs/>
              </w:rPr>
              <w:t xml:space="preserve">. Il codice, i semi casuali e le </w:t>
            </w:r>
            <w:r w:rsidRPr="002A72A7">
              <w:rPr>
                <w:bCs/>
              </w:rPr>
              <w:lastRenderedPageBreak/>
              <w:t>configurazioni delle simulazioni saranno organizzati in modo da assicurare la riproducibilità delle analisi e il confronto controllato tra scenari.</w:t>
            </w:r>
          </w:p>
          <w:p w14:paraId="513C0F69" w14:textId="0648F68E" w:rsidR="002A72A7" w:rsidRPr="002A72A7" w:rsidRDefault="002A72A7" w:rsidP="002A72A7">
            <w:pPr>
              <w:autoSpaceDE w:val="0"/>
              <w:autoSpaceDN w:val="0"/>
              <w:adjustRightInd w:val="0"/>
              <w:spacing w:line="312" w:lineRule="auto"/>
              <w:jc w:val="both"/>
              <w:rPr>
                <w:bCs/>
              </w:rPr>
            </w:pPr>
            <w:r w:rsidRPr="002A72A7">
              <w:rPr>
                <w:bCs/>
              </w:rPr>
              <w:t>• Quinto e sesto mese: completamento delle analisi principali, interpretazione epidemiologica dei risultati, verifica della robustezza rispetto alle assunzioni, completamento di tabelle e figure, redazione dei Risultati e della Discussione e revisione interna del manoscritto.</w:t>
            </w:r>
          </w:p>
          <w:p w14:paraId="31E5929F" w14:textId="08281F64" w:rsidR="002A72A7" w:rsidRPr="00692392" w:rsidRDefault="002A72A7" w:rsidP="002A72A7">
            <w:pPr>
              <w:autoSpaceDE w:val="0"/>
              <w:autoSpaceDN w:val="0"/>
              <w:adjustRightInd w:val="0"/>
              <w:spacing w:line="312" w:lineRule="auto"/>
              <w:jc w:val="both"/>
              <w:rPr>
                <w:bCs/>
              </w:rPr>
            </w:pPr>
            <w:r w:rsidRPr="002A72A7">
              <w:rPr>
                <w:bCs/>
              </w:rPr>
              <w:t>• Output atteso: predisposizione e invio di un manoscritto a una rivista scientifica internazionale di ambito statistico, epidemiologico o di epidemiologia ambientale.</w:t>
            </w:r>
          </w:p>
        </w:tc>
      </w:tr>
      <w:tr w:rsidR="00692392" w:rsidRPr="004328B6" w14:paraId="16CF3541" w14:textId="77777777" w:rsidTr="00DE5A18">
        <w:trPr>
          <w:trHeight w:val="708"/>
        </w:trPr>
        <w:tc>
          <w:tcPr>
            <w:tcW w:w="9628" w:type="dxa"/>
            <w:tcBorders>
              <w:top w:val="single" w:sz="4" w:space="0" w:color="auto"/>
              <w:left w:val="single" w:sz="4" w:space="0" w:color="auto"/>
              <w:bottom w:val="single" w:sz="4" w:space="0" w:color="auto"/>
              <w:right w:val="single" w:sz="4" w:space="0" w:color="auto"/>
            </w:tcBorders>
          </w:tcPr>
          <w:p w14:paraId="728208BF" w14:textId="77777777" w:rsidR="00692392" w:rsidRDefault="00692392" w:rsidP="004328B6">
            <w:pPr>
              <w:autoSpaceDE w:val="0"/>
              <w:autoSpaceDN w:val="0"/>
              <w:adjustRightInd w:val="0"/>
              <w:spacing w:line="312" w:lineRule="auto"/>
              <w:ind w:left="5670" w:hanging="5670"/>
              <w:rPr>
                <w:b/>
              </w:rPr>
            </w:pPr>
            <w:r w:rsidRPr="00692392">
              <w:rPr>
                <w:b/>
              </w:rPr>
              <w:lastRenderedPageBreak/>
              <w:t>SEDE PREVALENTE</w:t>
            </w:r>
            <w:r>
              <w:rPr>
                <w:b/>
              </w:rPr>
              <w:t xml:space="preserve"> DELL’</w:t>
            </w:r>
            <w:r w:rsidRPr="00692392">
              <w:rPr>
                <w:b/>
              </w:rPr>
              <w:t>ATTIVITÀ DI RICERCA</w:t>
            </w:r>
          </w:p>
          <w:p w14:paraId="545688E9" w14:textId="2ACF920B" w:rsidR="00692392" w:rsidRPr="00692392" w:rsidRDefault="00692392" w:rsidP="004328B6">
            <w:pPr>
              <w:autoSpaceDE w:val="0"/>
              <w:autoSpaceDN w:val="0"/>
              <w:adjustRightInd w:val="0"/>
              <w:spacing w:line="312" w:lineRule="auto"/>
              <w:ind w:left="5670" w:hanging="5670"/>
              <w:rPr>
                <w:bCs/>
              </w:rPr>
            </w:pPr>
            <w:r>
              <w:rPr>
                <w:bCs/>
              </w:rPr>
              <w:t>Via San Giacomo 12, 40126 Bologna.</w:t>
            </w:r>
          </w:p>
        </w:tc>
      </w:tr>
      <w:tr w:rsidR="00692392" w:rsidRPr="004328B6" w14:paraId="7113E5D0" w14:textId="77777777" w:rsidTr="00DE5A18">
        <w:trPr>
          <w:trHeight w:val="690"/>
        </w:trPr>
        <w:tc>
          <w:tcPr>
            <w:tcW w:w="9628" w:type="dxa"/>
            <w:tcBorders>
              <w:top w:val="single" w:sz="4" w:space="0" w:color="auto"/>
              <w:left w:val="single" w:sz="4" w:space="0" w:color="auto"/>
              <w:bottom w:val="single" w:sz="4" w:space="0" w:color="auto"/>
              <w:right w:val="single" w:sz="4" w:space="0" w:color="auto"/>
            </w:tcBorders>
          </w:tcPr>
          <w:p w14:paraId="17972077" w14:textId="1822CF75" w:rsidR="00692392" w:rsidRDefault="00692392" w:rsidP="004328B6">
            <w:pPr>
              <w:autoSpaceDE w:val="0"/>
              <w:autoSpaceDN w:val="0"/>
              <w:adjustRightInd w:val="0"/>
              <w:spacing w:line="312" w:lineRule="auto"/>
              <w:ind w:left="5670" w:hanging="5670"/>
              <w:rPr>
                <w:b/>
              </w:rPr>
            </w:pPr>
            <w:r w:rsidRPr="00692392">
              <w:rPr>
                <w:b/>
              </w:rPr>
              <w:t>ATTIVITÀ ASSISTENZIAL</w:t>
            </w:r>
            <w:r w:rsidR="00DE5A18">
              <w:rPr>
                <w:b/>
              </w:rPr>
              <w:t>E</w:t>
            </w:r>
            <w:r w:rsidRPr="00692392">
              <w:rPr>
                <w:b/>
              </w:rPr>
              <w:t xml:space="preserve"> </w:t>
            </w:r>
            <w:r>
              <w:rPr>
                <w:b/>
              </w:rPr>
              <w:t xml:space="preserve">DELLA BORSISTA O </w:t>
            </w:r>
            <w:r w:rsidRPr="00692392">
              <w:rPr>
                <w:b/>
              </w:rPr>
              <w:t>DEL BORSISTA</w:t>
            </w:r>
          </w:p>
          <w:p w14:paraId="5B8DFC46" w14:textId="17E5232C" w:rsidR="00692392" w:rsidRPr="00692392" w:rsidRDefault="00692392" w:rsidP="004328B6">
            <w:pPr>
              <w:autoSpaceDE w:val="0"/>
              <w:autoSpaceDN w:val="0"/>
              <w:adjustRightInd w:val="0"/>
              <w:spacing w:line="312" w:lineRule="auto"/>
              <w:ind w:left="5670" w:hanging="5670"/>
              <w:rPr>
                <w:b/>
              </w:rPr>
            </w:pPr>
            <w:r w:rsidRPr="00692392">
              <w:rPr>
                <w:bCs/>
              </w:rPr>
              <w:t>Non prevista.</w:t>
            </w:r>
          </w:p>
        </w:tc>
      </w:tr>
    </w:tbl>
    <w:tbl>
      <w:tblPr>
        <w:tblStyle w:val="Grigliatabella"/>
        <w:tblW w:w="0" w:type="auto"/>
        <w:tblInd w:w="-5" w:type="dxa"/>
        <w:tblLook w:val="04A0" w:firstRow="1" w:lastRow="0" w:firstColumn="1" w:lastColumn="0" w:noHBand="0" w:noVBand="1"/>
      </w:tblPr>
      <w:tblGrid>
        <w:gridCol w:w="3686"/>
        <w:gridCol w:w="5947"/>
      </w:tblGrid>
      <w:tr w:rsidR="00692392" w14:paraId="38377137" w14:textId="77777777" w:rsidTr="00C44D3B">
        <w:tc>
          <w:tcPr>
            <w:tcW w:w="3686" w:type="dxa"/>
          </w:tcPr>
          <w:p w14:paraId="5A718A06" w14:textId="1395E171" w:rsidR="00692392" w:rsidRPr="00692392" w:rsidRDefault="00692392" w:rsidP="004328B6">
            <w:pPr>
              <w:autoSpaceDE w:val="0"/>
              <w:autoSpaceDN w:val="0"/>
              <w:adjustRightInd w:val="0"/>
              <w:spacing w:line="312" w:lineRule="auto"/>
              <w:rPr>
                <w:b/>
                <w:bCs/>
              </w:rPr>
            </w:pPr>
            <w:r w:rsidRPr="00692392">
              <w:rPr>
                <w:b/>
                <w:bCs/>
              </w:rPr>
              <w:t>COMMISSIONE PROPOSTA</w:t>
            </w:r>
          </w:p>
          <w:p w14:paraId="6E93F6BE" w14:textId="1BE259D8" w:rsidR="00692392" w:rsidRDefault="00692392" w:rsidP="004328B6">
            <w:pPr>
              <w:autoSpaceDE w:val="0"/>
              <w:autoSpaceDN w:val="0"/>
              <w:adjustRightInd w:val="0"/>
              <w:spacing w:line="312" w:lineRule="auto"/>
            </w:pPr>
            <w:r>
              <w:t>Tre commissari e un supplente</w:t>
            </w:r>
          </w:p>
        </w:tc>
        <w:tc>
          <w:tcPr>
            <w:tcW w:w="5947" w:type="dxa"/>
          </w:tcPr>
          <w:p w14:paraId="68C16ACA" w14:textId="3CAAECC6" w:rsidR="00692392" w:rsidRDefault="00692392" w:rsidP="004328B6">
            <w:pPr>
              <w:autoSpaceDE w:val="0"/>
              <w:autoSpaceDN w:val="0"/>
              <w:adjustRightInd w:val="0"/>
              <w:spacing w:line="312" w:lineRule="auto"/>
            </w:pPr>
            <w:r>
              <w:t>Membro effettivo: professor Jacopo Lenzi, DIBINEM</w:t>
            </w:r>
          </w:p>
          <w:p w14:paraId="18FBDB53" w14:textId="310BE5C1" w:rsidR="00692392" w:rsidRDefault="00692392" w:rsidP="004328B6">
            <w:pPr>
              <w:autoSpaceDE w:val="0"/>
              <w:autoSpaceDN w:val="0"/>
              <w:adjustRightInd w:val="0"/>
              <w:spacing w:line="312" w:lineRule="auto"/>
            </w:pPr>
            <w:r>
              <w:t>Membro effettivo: professor Davide Gori, DIBINEM</w:t>
            </w:r>
          </w:p>
          <w:p w14:paraId="22F9CE2F" w14:textId="51C48328" w:rsidR="00692392" w:rsidRDefault="00692392" w:rsidP="004328B6">
            <w:pPr>
              <w:autoSpaceDE w:val="0"/>
              <w:autoSpaceDN w:val="0"/>
              <w:adjustRightInd w:val="0"/>
              <w:spacing w:line="312" w:lineRule="auto"/>
            </w:pPr>
            <w:r>
              <w:t>Membro effettivo: professoressa Lisa Argnani, DIMEC</w:t>
            </w:r>
          </w:p>
          <w:p w14:paraId="3D6DCBFD" w14:textId="440AC9E8" w:rsidR="00692392" w:rsidRDefault="00692392" w:rsidP="00692392">
            <w:pPr>
              <w:autoSpaceDE w:val="0"/>
              <w:autoSpaceDN w:val="0"/>
              <w:adjustRightInd w:val="0"/>
              <w:spacing w:line="312" w:lineRule="auto"/>
            </w:pPr>
            <w:r>
              <w:t>Membro supplente: dottoressa Simona Rosa, DIBINEM</w:t>
            </w:r>
          </w:p>
        </w:tc>
      </w:tr>
    </w:tbl>
    <w:p w14:paraId="5F84FCAE" w14:textId="56DE73E0" w:rsidR="00664352" w:rsidRPr="004328B6" w:rsidRDefault="00664352" w:rsidP="007E2DF5">
      <w:pPr>
        <w:autoSpaceDE w:val="0"/>
        <w:autoSpaceDN w:val="0"/>
        <w:adjustRightInd w:val="0"/>
        <w:spacing w:line="312" w:lineRule="auto"/>
      </w:pPr>
    </w:p>
    <w:sectPr w:rsidR="00664352" w:rsidRPr="004328B6" w:rsidSect="00303114">
      <w:headerReference w:type="default" r:id="rId18"/>
      <w:footerReference w:type="default" r:id="rId19"/>
      <w:pgSz w:w="11906" w:h="16838"/>
      <w:pgMar w:top="3403" w:right="1134" w:bottom="993" w:left="1134" w:header="357" w:footer="5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F4A8" w14:textId="77777777" w:rsidR="00BF3D36" w:rsidRDefault="00BF3D36">
      <w:r>
        <w:separator/>
      </w:r>
    </w:p>
  </w:endnote>
  <w:endnote w:type="continuationSeparator" w:id="0">
    <w:p w14:paraId="1E1303EA" w14:textId="77777777" w:rsidR="00BF3D36" w:rsidRDefault="00BF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31B5D" w14:textId="77777777" w:rsidR="002D526E" w:rsidRPr="002D526E" w:rsidRDefault="002D526E" w:rsidP="002D526E">
    <w:pPr>
      <w:pStyle w:val="Pidipagina"/>
      <w:tabs>
        <w:tab w:val="clear" w:pos="9638"/>
        <w:tab w:val="right" w:pos="10065"/>
      </w:tabs>
      <w:ind w:right="-285"/>
      <w:rPr>
        <w:rFonts w:ascii="Calibri" w:hAnsi="Calibri" w:cs="Calibri"/>
        <w:b/>
        <w:iCs/>
        <w:caps/>
      </w:rPr>
    </w:pPr>
    <w:r w:rsidRPr="002D526E">
      <w:rPr>
        <w:rFonts w:ascii="Calibri" w:hAnsi="Calibri" w:cs="Calibri"/>
        <w:b/>
        <w:iCs/>
        <w:caps/>
      </w:rPr>
      <w:t>SETTORE personale</w:t>
    </w:r>
  </w:p>
  <w:p w14:paraId="04CDBED7" w14:textId="77777777" w:rsidR="002D526E" w:rsidRPr="002D526E" w:rsidRDefault="002D526E" w:rsidP="002D526E">
    <w:pPr>
      <w:pStyle w:val="Pidipagina"/>
      <w:tabs>
        <w:tab w:val="clear" w:pos="9638"/>
        <w:tab w:val="right" w:pos="10065"/>
      </w:tabs>
      <w:ind w:right="-285"/>
      <w:rPr>
        <w:rFonts w:ascii="Calibri" w:hAnsi="Calibri" w:cs="Calibri"/>
        <w:b/>
        <w:iCs/>
        <w:caps/>
      </w:rPr>
    </w:pPr>
    <w:r w:rsidRPr="002D526E">
      <w:rPr>
        <w:rFonts w:ascii="Calibri" w:hAnsi="Calibri" w:cs="Calibri"/>
        <w:b/>
        <w:iCs/>
        <w:caps/>
      </w:rPr>
      <w:t>UFFICIO PERSONALE NON STRUTTURATO</w:t>
    </w:r>
  </w:p>
  <w:p w14:paraId="641F01EA" w14:textId="7A6DC131" w:rsidR="002D526E" w:rsidRPr="002D526E" w:rsidRDefault="002D526E" w:rsidP="002D526E">
    <w:pPr>
      <w:pStyle w:val="Pidipagina"/>
      <w:tabs>
        <w:tab w:val="clear" w:pos="9638"/>
        <w:tab w:val="right" w:pos="10065"/>
      </w:tabs>
      <w:ind w:right="-285"/>
      <w:rPr>
        <w:rFonts w:ascii="Calibri" w:hAnsi="Calibri" w:cs="Calibri"/>
        <w:sz w:val="20"/>
        <w:szCs w:val="20"/>
      </w:rPr>
    </w:pPr>
    <w:r w:rsidRPr="002D526E">
      <w:rPr>
        <w:rFonts w:ascii="Calibri" w:hAnsi="Calibri" w:cs="Calibri"/>
        <w:sz w:val="20"/>
        <w:szCs w:val="20"/>
      </w:rPr>
      <w:t>c/o Policlinico di Sant’Orsola, via Massarenti 9 – Pad. 11 | 40138 Bologna | Italia</w:t>
    </w:r>
  </w:p>
  <w:p w14:paraId="404E8370" w14:textId="18436449" w:rsidR="00B041D7" w:rsidRPr="00B041D7" w:rsidRDefault="002D526E" w:rsidP="002D526E">
    <w:pPr>
      <w:pStyle w:val="Pidipagina"/>
      <w:tabs>
        <w:tab w:val="right" w:pos="10065"/>
      </w:tabs>
      <w:ind w:right="-285"/>
      <w:rPr>
        <w:rFonts w:ascii="Calibri" w:hAnsi="Calibri" w:cs="Calibri"/>
        <w:sz w:val="20"/>
        <w:szCs w:val="20"/>
      </w:rPr>
    </w:pPr>
    <w:r w:rsidRPr="002D526E">
      <w:rPr>
        <w:rFonts w:ascii="Calibri" w:hAnsi="Calibri" w:cs="Calibri"/>
        <w:sz w:val="20"/>
        <w:szCs w:val="20"/>
      </w:rPr>
      <w:t>Responsabile del procedimento: Luisa Romagnoli | sam.nonstrutturati@unibo.it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3E21E" w14:textId="77777777" w:rsidR="00BF3D36" w:rsidRDefault="00BF3D36">
      <w:r>
        <w:separator/>
      </w:r>
    </w:p>
  </w:footnote>
  <w:footnote w:type="continuationSeparator" w:id="0">
    <w:p w14:paraId="549976B9" w14:textId="77777777" w:rsidR="00BF3D36" w:rsidRDefault="00BF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5652F" w14:textId="77777777" w:rsidR="00EB159E" w:rsidRDefault="00EB159E" w:rsidP="00EB159E">
    <w:pPr>
      <w:pStyle w:val="Intestazione"/>
      <w:rPr>
        <w:noProof/>
      </w:rPr>
    </w:pPr>
  </w:p>
  <w:p w14:paraId="4717A2CD" w14:textId="77777777" w:rsidR="00A21287" w:rsidRDefault="00F51F5E" w:rsidP="00EB159E">
    <w:pPr>
      <w:pStyle w:val="Intestazione"/>
    </w:pPr>
    <w:r>
      <w:rPr>
        <w:noProof/>
      </w:rPr>
      <w:drawing>
        <wp:inline distT="0" distB="0" distL="0" distR="0" wp14:anchorId="56BE36DE" wp14:editId="1864274B">
          <wp:extent cx="3292320" cy="1252800"/>
          <wp:effectExtent l="0" t="0" r="0" b="508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3292320" cy="12528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1A89"/>
    <w:multiLevelType w:val="hybridMultilevel"/>
    <w:tmpl w:val="81840F2A"/>
    <w:lvl w:ilvl="0" w:tplc="413020A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C157FB"/>
    <w:multiLevelType w:val="multilevel"/>
    <w:tmpl w:val="073C0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272551"/>
    <w:multiLevelType w:val="hybridMultilevel"/>
    <w:tmpl w:val="7EFCED88"/>
    <w:lvl w:ilvl="0" w:tplc="ECFAB252">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77E6CCC"/>
    <w:multiLevelType w:val="hybridMultilevel"/>
    <w:tmpl w:val="FA70340A"/>
    <w:lvl w:ilvl="0" w:tplc="12128B5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B6A0210"/>
    <w:multiLevelType w:val="hybridMultilevel"/>
    <w:tmpl w:val="AE766BF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507604242">
    <w:abstractNumId w:val="4"/>
  </w:num>
  <w:num w:numId="2" w16cid:durableId="19400167">
    <w:abstractNumId w:val="0"/>
  </w:num>
  <w:num w:numId="3" w16cid:durableId="1519734320">
    <w:abstractNumId w:val="1"/>
  </w:num>
  <w:num w:numId="4" w16cid:durableId="1289896987">
    <w:abstractNumId w:val="3"/>
  </w:num>
  <w:num w:numId="5" w16cid:durableId="461847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F0A"/>
    <w:rsid w:val="00000BC0"/>
    <w:rsid w:val="0000119A"/>
    <w:rsid w:val="00002206"/>
    <w:rsid w:val="00003775"/>
    <w:rsid w:val="00004835"/>
    <w:rsid w:val="00004B41"/>
    <w:rsid w:val="00007718"/>
    <w:rsid w:val="00011B7B"/>
    <w:rsid w:val="00012D02"/>
    <w:rsid w:val="000151AC"/>
    <w:rsid w:val="0001554C"/>
    <w:rsid w:val="0001577D"/>
    <w:rsid w:val="00015DE8"/>
    <w:rsid w:val="00016FA2"/>
    <w:rsid w:val="00021357"/>
    <w:rsid w:val="00022051"/>
    <w:rsid w:val="00022E71"/>
    <w:rsid w:val="0002319F"/>
    <w:rsid w:val="00023AB7"/>
    <w:rsid w:val="00023EA4"/>
    <w:rsid w:val="00024131"/>
    <w:rsid w:val="000241C6"/>
    <w:rsid w:val="00025720"/>
    <w:rsid w:val="00025A9D"/>
    <w:rsid w:val="00025E4A"/>
    <w:rsid w:val="0002712F"/>
    <w:rsid w:val="000271E8"/>
    <w:rsid w:val="000275ED"/>
    <w:rsid w:val="0003171A"/>
    <w:rsid w:val="00032B63"/>
    <w:rsid w:val="00032BFB"/>
    <w:rsid w:val="00033855"/>
    <w:rsid w:val="0003386D"/>
    <w:rsid w:val="00033D80"/>
    <w:rsid w:val="00034182"/>
    <w:rsid w:val="00034FE5"/>
    <w:rsid w:val="00035B35"/>
    <w:rsid w:val="00036091"/>
    <w:rsid w:val="00036D0D"/>
    <w:rsid w:val="000375D4"/>
    <w:rsid w:val="00040206"/>
    <w:rsid w:val="0004119D"/>
    <w:rsid w:val="000411A6"/>
    <w:rsid w:val="0004160D"/>
    <w:rsid w:val="000418FE"/>
    <w:rsid w:val="00042891"/>
    <w:rsid w:val="00042B86"/>
    <w:rsid w:val="0004347C"/>
    <w:rsid w:val="00044126"/>
    <w:rsid w:val="000441B4"/>
    <w:rsid w:val="00044483"/>
    <w:rsid w:val="000448CE"/>
    <w:rsid w:val="00046327"/>
    <w:rsid w:val="00046972"/>
    <w:rsid w:val="00046F94"/>
    <w:rsid w:val="00047AA0"/>
    <w:rsid w:val="000515DC"/>
    <w:rsid w:val="00051941"/>
    <w:rsid w:val="0005379F"/>
    <w:rsid w:val="00054F9D"/>
    <w:rsid w:val="00056F8C"/>
    <w:rsid w:val="0005744F"/>
    <w:rsid w:val="00060F13"/>
    <w:rsid w:val="0006159F"/>
    <w:rsid w:val="000627C5"/>
    <w:rsid w:val="000638A4"/>
    <w:rsid w:val="00063CCE"/>
    <w:rsid w:val="0006451B"/>
    <w:rsid w:val="000649E3"/>
    <w:rsid w:val="00065195"/>
    <w:rsid w:val="00065DE4"/>
    <w:rsid w:val="00067DC5"/>
    <w:rsid w:val="00071338"/>
    <w:rsid w:val="00072AEC"/>
    <w:rsid w:val="00073451"/>
    <w:rsid w:val="000734FA"/>
    <w:rsid w:val="00073876"/>
    <w:rsid w:val="00073F51"/>
    <w:rsid w:val="000749C3"/>
    <w:rsid w:val="0007533F"/>
    <w:rsid w:val="000771B7"/>
    <w:rsid w:val="00077BC6"/>
    <w:rsid w:val="00080E93"/>
    <w:rsid w:val="000810DE"/>
    <w:rsid w:val="00081E6F"/>
    <w:rsid w:val="00082178"/>
    <w:rsid w:val="00082A05"/>
    <w:rsid w:val="00083600"/>
    <w:rsid w:val="0008456A"/>
    <w:rsid w:val="00085ABA"/>
    <w:rsid w:val="00086B44"/>
    <w:rsid w:val="000870AA"/>
    <w:rsid w:val="00090823"/>
    <w:rsid w:val="0009143D"/>
    <w:rsid w:val="00091ED9"/>
    <w:rsid w:val="00091FF9"/>
    <w:rsid w:val="00092817"/>
    <w:rsid w:val="00092BE0"/>
    <w:rsid w:val="00093F22"/>
    <w:rsid w:val="00093F28"/>
    <w:rsid w:val="00094BAA"/>
    <w:rsid w:val="00094FEE"/>
    <w:rsid w:val="000955ED"/>
    <w:rsid w:val="00096294"/>
    <w:rsid w:val="00096DBC"/>
    <w:rsid w:val="00097894"/>
    <w:rsid w:val="000A0577"/>
    <w:rsid w:val="000A1100"/>
    <w:rsid w:val="000A275B"/>
    <w:rsid w:val="000A3790"/>
    <w:rsid w:val="000A3B39"/>
    <w:rsid w:val="000A3D11"/>
    <w:rsid w:val="000A4B45"/>
    <w:rsid w:val="000A4ED7"/>
    <w:rsid w:val="000A543F"/>
    <w:rsid w:val="000A552E"/>
    <w:rsid w:val="000A5FA2"/>
    <w:rsid w:val="000A6E0B"/>
    <w:rsid w:val="000A757C"/>
    <w:rsid w:val="000A7705"/>
    <w:rsid w:val="000B1643"/>
    <w:rsid w:val="000B1D79"/>
    <w:rsid w:val="000B1FBE"/>
    <w:rsid w:val="000B250F"/>
    <w:rsid w:val="000B2590"/>
    <w:rsid w:val="000B3E8C"/>
    <w:rsid w:val="000B486F"/>
    <w:rsid w:val="000B5B50"/>
    <w:rsid w:val="000B6A22"/>
    <w:rsid w:val="000B6C3D"/>
    <w:rsid w:val="000B78C3"/>
    <w:rsid w:val="000B7C12"/>
    <w:rsid w:val="000C016A"/>
    <w:rsid w:val="000C02EF"/>
    <w:rsid w:val="000C0392"/>
    <w:rsid w:val="000C03B2"/>
    <w:rsid w:val="000C0BF4"/>
    <w:rsid w:val="000C0F93"/>
    <w:rsid w:val="000C1FF6"/>
    <w:rsid w:val="000C21F1"/>
    <w:rsid w:val="000C2C52"/>
    <w:rsid w:val="000C4795"/>
    <w:rsid w:val="000C4A71"/>
    <w:rsid w:val="000C5C1C"/>
    <w:rsid w:val="000C5ECA"/>
    <w:rsid w:val="000C747B"/>
    <w:rsid w:val="000C748B"/>
    <w:rsid w:val="000C7679"/>
    <w:rsid w:val="000D00A9"/>
    <w:rsid w:val="000D03DB"/>
    <w:rsid w:val="000D0B1A"/>
    <w:rsid w:val="000D2559"/>
    <w:rsid w:val="000D2D7E"/>
    <w:rsid w:val="000D2F2B"/>
    <w:rsid w:val="000D34BD"/>
    <w:rsid w:val="000D40DA"/>
    <w:rsid w:val="000D480F"/>
    <w:rsid w:val="000D68E1"/>
    <w:rsid w:val="000D6C48"/>
    <w:rsid w:val="000D74D4"/>
    <w:rsid w:val="000D7C49"/>
    <w:rsid w:val="000D7D9F"/>
    <w:rsid w:val="000E0419"/>
    <w:rsid w:val="000E14F5"/>
    <w:rsid w:val="000E1C1C"/>
    <w:rsid w:val="000E1EAB"/>
    <w:rsid w:val="000E2E3E"/>
    <w:rsid w:val="000E3562"/>
    <w:rsid w:val="000E48D1"/>
    <w:rsid w:val="000E4CE5"/>
    <w:rsid w:val="000E6126"/>
    <w:rsid w:val="000E67DA"/>
    <w:rsid w:val="000E7A18"/>
    <w:rsid w:val="000F019B"/>
    <w:rsid w:val="000F0C35"/>
    <w:rsid w:val="000F109B"/>
    <w:rsid w:val="000F1B07"/>
    <w:rsid w:val="000F1ED2"/>
    <w:rsid w:val="000F2795"/>
    <w:rsid w:val="000F373C"/>
    <w:rsid w:val="000F3CAC"/>
    <w:rsid w:val="000F3F56"/>
    <w:rsid w:val="000F5049"/>
    <w:rsid w:val="000F5693"/>
    <w:rsid w:val="000F5944"/>
    <w:rsid w:val="000F59E4"/>
    <w:rsid w:val="000F71E0"/>
    <w:rsid w:val="000F7275"/>
    <w:rsid w:val="000F7768"/>
    <w:rsid w:val="001009FF"/>
    <w:rsid w:val="00103161"/>
    <w:rsid w:val="00105989"/>
    <w:rsid w:val="00106642"/>
    <w:rsid w:val="00110553"/>
    <w:rsid w:val="00111F1C"/>
    <w:rsid w:val="00112874"/>
    <w:rsid w:val="00112B83"/>
    <w:rsid w:val="00113277"/>
    <w:rsid w:val="00113A4B"/>
    <w:rsid w:val="001159C0"/>
    <w:rsid w:val="00116067"/>
    <w:rsid w:val="00116701"/>
    <w:rsid w:val="00116763"/>
    <w:rsid w:val="001178BB"/>
    <w:rsid w:val="00117ED1"/>
    <w:rsid w:val="001201C0"/>
    <w:rsid w:val="0012046B"/>
    <w:rsid w:val="00120527"/>
    <w:rsid w:val="001206BD"/>
    <w:rsid w:val="00120B5C"/>
    <w:rsid w:val="0012147D"/>
    <w:rsid w:val="00121897"/>
    <w:rsid w:val="00121F27"/>
    <w:rsid w:val="001237CD"/>
    <w:rsid w:val="001237E2"/>
    <w:rsid w:val="00123C33"/>
    <w:rsid w:val="00123C82"/>
    <w:rsid w:val="001250DC"/>
    <w:rsid w:val="00126819"/>
    <w:rsid w:val="00126A5B"/>
    <w:rsid w:val="00130867"/>
    <w:rsid w:val="00131662"/>
    <w:rsid w:val="00133151"/>
    <w:rsid w:val="0013323C"/>
    <w:rsid w:val="00134265"/>
    <w:rsid w:val="00135D2C"/>
    <w:rsid w:val="001364DD"/>
    <w:rsid w:val="00136C37"/>
    <w:rsid w:val="001373C5"/>
    <w:rsid w:val="00137527"/>
    <w:rsid w:val="00137B4D"/>
    <w:rsid w:val="00137C4C"/>
    <w:rsid w:val="00140627"/>
    <w:rsid w:val="00142FC5"/>
    <w:rsid w:val="00143423"/>
    <w:rsid w:val="0014343D"/>
    <w:rsid w:val="00143FC9"/>
    <w:rsid w:val="001449F5"/>
    <w:rsid w:val="00146A13"/>
    <w:rsid w:val="00146AC1"/>
    <w:rsid w:val="00146CAA"/>
    <w:rsid w:val="001503DB"/>
    <w:rsid w:val="00150598"/>
    <w:rsid w:val="00150FFF"/>
    <w:rsid w:val="00152B94"/>
    <w:rsid w:val="00153EC4"/>
    <w:rsid w:val="00154733"/>
    <w:rsid w:val="00154D91"/>
    <w:rsid w:val="00155A40"/>
    <w:rsid w:val="00155DF3"/>
    <w:rsid w:val="00155E9A"/>
    <w:rsid w:val="00156026"/>
    <w:rsid w:val="0015785C"/>
    <w:rsid w:val="00157D9C"/>
    <w:rsid w:val="00161E53"/>
    <w:rsid w:val="00162823"/>
    <w:rsid w:val="00162DF9"/>
    <w:rsid w:val="0016348E"/>
    <w:rsid w:val="00163832"/>
    <w:rsid w:val="00164315"/>
    <w:rsid w:val="001644EB"/>
    <w:rsid w:val="00164710"/>
    <w:rsid w:val="001653B0"/>
    <w:rsid w:val="0016550D"/>
    <w:rsid w:val="00165B7B"/>
    <w:rsid w:val="001672B4"/>
    <w:rsid w:val="00170400"/>
    <w:rsid w:val="00170CFE"/>
    <w:rsid w:val="00170ECC"/>
    <w:rsid w:val="0017294F"/>
    <w:rsid w:val="0017338B"/>
    <w:rsid w:val="001733EA"/>
    <w:rsid w:val="00174AA0"/>
    <w:rsid w:val="00174DF7"/>
    <w:rsid w:val="00175DA5"/>
    <w:rsid w:val="00175E14"/>
    <w:rsid w:val="001761F3"/>
    <w:rsid w:val="001763B0"/>
    <w:rsid w:val="00176E86"/>
    <w:rsid w:val="00176E9D"/>
    <w:rsid w:val="00177746"/>
    <w:rsid w:val="0018132A"/>
    <w:rsid w:val="0018174E"/>
    <w:rsid w:val="00181F7E"/>
    <w:rsid w:val="001821E5"/>
    <w:rsid w:val="0018284C"/>
    <w:rsid w:val="0018370D"/>
    <w:rsid w:val="00183A95"/>
    <w:rsid w:val="0018472F"/>
    <w:rsid w:val="00184D1D"/>
    <w:rsid w:val="0018551E"/>
    <w:rsid w:val="00185763"/>
    <w:rsid w:val="001877EC"/>
    <w:rsid w:val="00190C21"/>
    <w:rsid w:val="001918CE"/>
    <w:rsid w:val="00191E41"/>
    <w:rsid w:val="0019287F"/>
    <w:rsid w:val="00195853"/>
    <w:rsid w:val="00195943"/>
    <w:rsid w:val="00196A14"/>
    <w:rsid w:val="0019708B"/>
    <w:rsid w:val="001A1657"/>
    <w:rsid w:val="001A220D"/>
    <w:rsid w:val="001A31B5"/>
    <w:rsid w:val="001A326A"/>
    <w:rsid w:val="001A429A"/>
    <w:rsid w:val="001A546D"/>
    <w:rsid w:val="001A583C"/>
    <w:rsid w:val="001A5BBA"/>
    <w:rsid w:val="001A5F1C"/>
    <w:rsid w:val="001A7522"/>
    <w:rsid w:val="001A7FB9"/>
    <w:rsid w:val="001B1E5D"/>
    <w:rsid w:val="001B2A39"/>
    <w:rsid w:val="001B32FC"/>
    <w:rsid w:val="001B3594"/>
    <w:rsid w:val="001B3653"/>
    <w:rsid w:val="001B42F4"/>
    <w:rsid w:val="001B438A"/>
    <w:rsid w:val="001B4C22"/>
    <w:rsid w:val="001B5A0F"/>
    <w:rsid w:val="001B5D0F"/>
    <w:rsid w:val="001B5EC4"/>
    <w:rsid w:val="001B6B01"/>
    <w:rsid w:val="001B721D"/>
    <w:rsid w:val="001C090D"/>
    <w:rsid w:val="001C1689"/>
    <w:rsid w:val="001C1FEE"/>
    <w:rsid w:val="001C3133"/>
    <w:rsid w:val="001C431B"/>
    <w:rsid w:val="001C443F"/>
    <w:rsid w:val="001C44A0"/>
    <w:rsid w:val="001C7B74"/>
    <w:rsid w:val="001D0677"/>
    <w:rsid w:val="001D1E83"/>
    <w:rsid w:val="001D2197"/>
    <w:rsid w:val="001D2232"/>
    <w:rsid w:val="001D2934"/>
    <w:rsid w:val="001D4107"/>
    <w:rsid w:val="001D4403"/>
    <w:rsid w:val="001D448F"/>
    <w:rsid w:val="001D460A"/>
    <w:rsid w:val="001D46CD"/>
    <w:rsid w:val="001D4AE7"/>
    <w:rsid w:val="001D66DD"/>
    <w:rsid w:val="001D6DC9"/>
    <w:rsid w:val="001D714C"/>
    <w:rsid w:val="001E0796"/>
    <w:rsid w:val="001E1BEC"/>
    <w:rsid w:val="001E2BDC"/>
    <w:rsid w:val="001E3271"/>
    <w:rsid w:val="001E3853"/>
    <w:rsid w:val="001E446A"/>
    <w:rsid w:val="001E5DE6"/>
    <w:rsid w:val="001E6ADD"/>
    <w:rsid w:val="001F13E2"/>
    <w:rsid w:val="001F14B5"/>
    <w:rsid w:val="001F18E4"/>
    <w:rsid w:val="001F202B"/>
    <w:rsid w:val="001F2664"/>
    <w:rsid w:val="001F2910"/>
    <w:rsid w:val="001F2CCB"/>
    <w:rsid w:val="001F34E0"/>
    <w:rsid w:val="001F3EF5"/>
    <w:rsid w:val="001F4118"/>
    <w:rsid w:val="001F41A0"/>
    <w:rsid w:val="001F47E7"/>
    <w:rsid w:val="001F49E4"/>
    <w:rsid w:val="001F4F5A"/>
    <w:rsid w:val="001F59FC"/>
    <w:rsid w:val="001F5B75"/>
    <w:rsid w:val="001F6F3F"/>
    <w:rsid w:val="001F71CA"/>
    <w:rsid w:val="002001F4"/>
    <w:rsid w:val="002008A6"/>
    <w:rsid w:val="0020115E"/>
    <w:rsid w:val="002013D7"/>
    <w:rsid w:val="00201C3B"/>
    <w:rsid w:val="00203051"/>
    <w:rsid w:val="002034D4"/>
    <w:rsid w:val="00203812"/>
    <w:rsid w:val="00203AA1"/>
    <w:rsid w:val="00203B25"/>
    <w:rsid w:val="002047ED"/>
    <w:rsid w:val="002056CB"/>
    <w:rsid w:val="002064F6"/>
    <w:rsid w:val="00206E0B"/>
    <w:rsid w:val="00206E5D"/>
    <w:rsid w:val="002075E4"/>
    <w:rsid w:val="00210B74"/>
    <w:rsid w:val="00211759"/>
    <w:rsid w:val="00212134"/>
    <w:rsid w:val="002128FF"/>
    <w:rsid w:val="002129D3"/>
    <w:rsid w:val="00213253"/>
    <w:rsid w:val="00213778"/>
    <w:rsid w:val="00213997"/>
    <w:rsid w:val="00214347"/>
    <w:rsid w:val="002144B8"/>
    <w:rsid w:val="002156AC"/>
    <w:rsid w:val="002158C7"/>
    <w:rsid w:val="00215936"/>
    <w:rsid w:val="00216833"/>
    <w:rsid w:val="00216948"/>
    <w:rsid w:val="002171A0"/>
    <w:rsid w:val="002177B5"/>
    <w:rsid w:val="002201AA"/>
    <w:rsid w:val="002208A5"/>
    <w:rsid w:val="0022115F"/>
    <w:rsid w:val="0022198D"/>
    <w:rsid w:val="00221D72"/>
    <w:rsid w:val="00223FED"/>
    <w:rsid w:val="00224D0E"/>
    <w:rsid w:val="00224FDF"/>
    <w:rsid w:val="00225ACC"/>
    <w:rsid w:val="0022608A"/>
    <w:rsid w:val="00226251"/>
    <w:rsid w:val="002265F8"/>
    <w:rsid w:val="00226A1E"/>
    <w:rsid w:val="00227051"/>
    <w:rsid w:val="002275A5"/>
    <w:rsid w:val="00227D35"/>
    <w:rsid w:val="00231356"/>
    <w:rsid w:val="00232299"/>
    <w:rsid w:val="00232423"/>
    <w:rsid w:val="00233968"/>
    <w:rsid w:val="00234849"/>
    <w:rsid w:val="00234B4A"/>
    <w:rsid w:val="00234E84"/>
    <w:rsid w:val="002352A9"/>
    <w:rsid w:val="00235C9F"/>
    <w:rsid w:val="00237319"/>
    <w:rsid w:val="00237817"/>
    <w:rsid w:val="002400F7"/>
    <w:rsid w:val="002416F4"/>
    <w:rsid w:val="00241882"/>
    <w:rsid w:val="00244198"/>
    <w:rsid w:val="00245AB4"/>
    <w:rsid w:val="00246D10"/>
    <w:rsid w:val="00246DEC"/>
    <w:rsid w:val="002475AE"/>
    <w:rsid w:val="002508AD"/>
    <w:rsid w:val="00250BAF"/>
    <w:rsid w:val="00251557"/>
    <w:rsid w:val="00251C64"/>
    <w:rsid w:val="00252154"/>
    <w:rsid w:val="00252561"/>
    <w:rsid w:val="0025356C"/>
    <w:rsid w:val="00254702"/>
    <w:rsid w:val="002547AF"/>
    <w:rsid w:val="00254E0F"/>
    <w:rsid w:val="00256605"/>
    <w:rsid w:val="00256940"/>
    <w:rsid w:val="00256CE1"/>
    <w:rsid w:val="00257971"/>
    <w:rsid w:val="00261546"/>
    <w:rsid w:val="00261956"/>
    <w:rsid w:val="002641AC"/>
    <w:rsid w:val="00264F5E"/>
    <w:rsid w:val="00265254"/>
    <w:rsid w:val="00265F28"/>
    <w:rsid w:val="00266165"/>
    <w:rsid w:val="0026653B"/>
    <w:rsid w:val="002665EE"/>
    <w:rsid w:val="00266853"/>
    <w:rsid w:val="002719FC"/>
    <w:rsid w:val="00271FC8"/>
    <w:rsid w:val="0027261D"/>
    <w:rsid w:val="00272C26"/>
    <w:rsid w:val="00272EFD"/>
    <w:rsid w:val="00274E6B"/>
    <w:rsid w:val="002800D9"/>
    <w:rsid w:val="00280585"/>
    <w:rsid w:val="00281931"/>
    <w:rsid w:val="00281AD8"/>
    <w:rsid w:val="00281B47"/>
    <w:rsid w:val="002831D9"/>
    <w:rsid w:val="00284119"/>
    <w:rsid w:val="002844C4"/>
    <w:rsid w:val="00284B08"/>
    <w:rsid w:val="0028527F"/>
    <w:rsid w:val="002852CC"/>
    <w:rsid w:val="00290763"/>
    <w:rsid w:val="002909D7"/>
    <w:rsid w:val="00290FBD"/>
    <w:rsid w:val="00291382"/>
    <w:rsid w:val="002914F6"/>
    <w:rsid w:val="00291801"/>
    <w:rsid w:val="0029432D"/>
    <w:rsid w:val="0029492B"/>
    <w:rsid w:val="002977CB"/>
    <w:rsid w:val="002A0F0A"/>
    <w:rsid w:val="002A10D9"/>
    <w:rsid w:val="002A1E06"/>
    <w:rsid w:val="002A1EAF"/>
    <w:rsid w:val="002A2830"/>
    <w:rsid w:val="002A2B43"/>
    <w:rsid w:val="002A2EFC"/>
    <w:rsid w:val="002A3752"/>
    <w:rsid w:val="002A3AB5"/>
    <w:rsid w:val="002A3E76"/>
    <w:rsid w:val="002A3F50"/>
    <w:rsid w:val="002A4196"/>
    <w:rsid w:val="002A42CC"/>
    <w:rsid w:val="002A4309"/>
    <w:rsid w:val="002A475D"/>
    <w:rsid w:val="002A5473"/>
    <w:rsid w:val="002A567E"/>
    <w:rsid w:val="002A5A34"/>
    <w:rsid w:val="002A5DC1"/>
    <w:rsid w:val="002A6116"/>
    <w:rsid w:val="002A6AEA"/>
    <w:rsid w:val="002A72A7"/>
    <w:rsid w:val="002A7C0E"/>
    <w:rsid w:val="002A7EDC"/>
    <w:rsid w:val="002B0DB8"/>
    <w:rsid w:val="002B1CB9"/>
    <w:rsid w:val="002B2784"/>
    <w:rsid w:val="002B2E7B"/>
    <w:rsid w:val="002B3D74"/>
    <w:rsid w:val="002B44CE"/>
    <w:rsid w:val="002B4697"/>
    <w:rsid w:val="002B6117"/>
    <w:rsid w:val="002B6314"/>
    <w:rsid w:val="002B668A"/>
    <w:rsid w:val="002B6E53"/>
    <w:rsid w:val="002B749D"/>
    <w:rsid w:val="002C039F"/>
    <w:rsid w:val="002C061A"/>
    <w:rsid w:val="002C06C6"/>
    <w:rsid w:val="002C090D"/>
    <w:rsid w:val="002C0DDC"/>
    <w:rsid w:val="002C104A"/>
    <w:rsid w:val="002C308B"/>
    <w:rsid w:val="002C42F1"/>
    <w:rsid w:val="002C46DA"/>
    <w:rsid w:val="002C4882"/>
    <w:rsid w:val="002C5BD5"/>
    <w:rsid w:val="002C5C7E"/>
    <w:rsid w:val="002C5F0C"/>
    <w:rsid w:val="002C70B6"/>
    <w:rsid w:val="002C7805"/>
    <w:rsid w:val="002D02D6"/>
    <w:rsid w:val="002D07E0"/>
    <w:rsid w:val="002D0E76"/>
    <w:rsid w:val="002D12D8"/>
    <w:rsid w:val="002D31EC"/>
    <w:rsid w:val="002D3220"/>
    <w:rsid w:val="002D33FD"/>
    <w:rsid w:val="002D4784"/>
    <w:rsid w:val="002D526E"/>
    <w:rsid w:val="002D5633"/>
    <w:rsid w:val="002D5DEA"/>
    <w:rsid w:val="002D7ABC"/>
    <w:rsid w:val="002D7D59"/>
    <w:rsid w:val="002E0091"/>
    <w:rsid w:val="002E1550"/>
    <w:rsid w:val="002E1839"/>
    <w:rsid w:val="002E1A00"/>
    <w:rsid w:val="002E36A1"/>
    <w:rsid w:val="002E4684"/>
    <w:rsid w:val="002E52E3"/>
    <w:rsid w:val="002E58D3"/>
    <w:rsid w:val="002E60A1"/>
    <w:rsid w:val="002E6494"/>
    <w:rsid w:val="002E691A"/>
    <w:rsid w:val="002E7CFF"/>
    <w:rsid w:val="002F2EEF"/>
    <w:rsid w:val="002F3E6D"/>
    <w:rsid w:val="002F5C4C"/>
    <w:rsid w:val="002F6720"/>
    <w:rsid w:val="002F68AB"/>
    <w:rsid w:val="003007B2"/>
    <w:rsid w:val="00302533"/>
    <w:rsid w:val="00303114"/>
    <w:rsid w:val="0030346B"/>
    <w:rsid w:val="00303F77"/>
    <w:rsid w:val="003044F6"/>
    <w:rsid w:val="003052AF"/>
    <w:rsid w:val="003053DA"/>
    <w:rsid w:val="003054B8"/>
    <w:rsid w:val="003055DF"/>
    <w:rsid w:val="00306F34"/>
    <w:rsid w:val="00310D12"/>
    <w:rsid w:val="003138BE"/>
    <w:rsid w:val="00314058"/>
    <w:rsid w:val="00314085"/>
    <w:rsid w:val="003146C6"/>
    <w:rsid w:val="0031480E"/>
    <w:rsid w:val="0031498F"/>
    <w:rsid w:val="00314A64"/>
    <w:rsid w:val="00315FB2"/>
    <w:rsid w:val="0031612B"/>
    <w:rsid w:val="00316641"/>
    <w:rsid w:val="003168EF"/>
    <w:rsid w:val="00316975"/>
    <w:rsid w:val="00317565"/>
    <w:rsid w:val="00317D54"/>
    <w:rsid w:val="00320694"/>
    <w:rsid w:val="003206C1"/>
    <w:rsid w:val="00320F2A"/>
    <w:rsid w:val="00322A99"/>
    <w:rsid w:val="00322CBC"/>
    <w:rsid w:val="003230DE"/>
    <w:rsid w:val="00323A31"/>
    <w:rsid w:val="00323E7A"/>
    <w:rsid w:val="00324EF8"/>
    <w:rsid w:val="00324F01"/>
    <w:rsid w:val="0032537C"/>
    <w:rsid w:val="003253FB"/>
    <w:rsid w:val="00325422"/>
    <w:rsid w:val="00325C9F"/>
    <w:rsid w:val="003268A4"/>
    <w:rsid w:val="00326C24"/>
    <w:rsid w:val="003274B2"/>
    <w:rsid w:val="003278F4"/>
    <w:rsid w:val="00327A24"/>
    <w:rsid w:val="00330F59"/>
    <w:rsid w:val="003315FA"/>
    <w:rsid w:val="003317C9"/>
    <w:rsid w:val="00333699"/>
    <w:rsid w:val="00333C24"/>
    <w:rsid w:val="0033431F"/>
    <w:rsid w:val="003359CA"/>
    <w:rsid w:val="00335B9A"/>
    <w:rsid w:val="00335BA8"/>
    <w:rsid w:val="00336045"/>
    <w:rsid w:val="003362B5"/>
    <w:rsid w:val="00340C4F"/>
    <w:rsid w:val="00340FA7"/>
    <w:rsid w:val="003413E6"/>
    <w:rsid w:val="0034164E"/>
    <w:rsid w:val="00342D06"/>
    <w:rsid w:val="00343A82"/>
    <w:rsid w:val="003444BB"/>
    <w:rsid w:val="00344619"/>
    <w:rsid w:val="00344AD0"/>
    <w:rsid w:val="00345C82"/>
    <w:rsid w:val="00345DF7"/>
    <w:rsid w:val="00345E12"/>
    <w:rsid w:val="003474A4"/>
    <w:rsid w:val="00347A70"/>
    <w:rsid w:val="003500D5"/>
    <w:rsid w:val="00350386"/>
    <w:rsid w:val="00351EFF"/>
    <w:rsid w:val="00352EC3"/>
    <w:rsid w:val="0035324C"/>
    <w:rsid w:val="003539BC"/>
    <w:rsid w:val="003544EE"/>
    <w:rsid w:val="00354E39"/>
    <w:rsid w:val="003551CE"/>
    <w:rsid w:val="0035558E"/>
    <w:rsid w:val="00355614"/>
    <w:rsid w:val="00355B04"/>
    <w:rsid w:val="00355CBC"/>
    <w:rsid w:val="003565D3"/>
    <w:rsid w:val="00356A22"/>
    <w:rsid w:val="00356AE4"/>
    <w:rsid w:val="00356B4A"/>
    <w:rsid w:val="003572D8"/>
    <w:rsid w:val="00357E02"/>
    <w:rsid w:val="00360579"/>
    <w:rsid w:val="00360C92"/>
    <w:rsid w:val="003614ED"/>
    <w:rsid w:val="003619D6"/>
    <w:rsid w:val="003619EA"/>
    <w:rsid w:val="00361E6A"/>
    <w:rsid w:val="003628CB"/>
    <w:rsid w:val="003644DC"/>
    <w:rsid w:val="00364D06"/>
    <w:rsid w:val="00364E73"/>
    <w:rsid w:val="0036535B"/>
    <w:rsid w:val="003654B7"/>
    <w:rsid w:val="00365E40"/>
    <w:rsid w:val="003660E8"/>
    <w:rsid w:val="003669C1"/>
    <w:rsid w:val="00366F64"/>
    <w:rsid w:val="003671B5"/>
    <w:rsid w:val="00367867"/>
    <w:rsid w:val="003717E2"/>
    <w:rsid w:val="0037194A"/>
    <w:rsid w:val="00372BEC"/>
    <w:rsid w:val="003734A4"/>
    <w:rsid w:val="00373F5D"/>
    <w:rsid w:val="00375CC1"/>
    <w:rsid w:val="003767CC"/>
    <w:rsid w:val="00376AC4"/>
    <w:rsid w:val="003772B8"/>
    <w:rsid w:val="00377384"/>
    <w:rsid w:val="00377992"/>
    <w:rsid w:val="00377B4E"/>
    <w:rsid w:val="003800E9"/>
    <w:rsid w:val="00381086"/>
    <w:rsid w:val="003815E9"/>
    <w:rsid w:val="00381BF4"/>
    <w:rsid w:val="00382240"/>
    <w:rsid w:val="003846EC"/>
    <w:rsid w:val="00384776"/>
    <w:rsid w:val="0038564F"/>
    <w:rsid w:val="00390D62"/>
    <w:rsid w:val="00391D3D"/>
    <w:rsid w:val="00391D7E"/>
    <w:rsid w:val="00392402"/>
    <w:rsid w:val="00392803"/>
    <w:rsid w:val="00393112"/>
    <w:rsid w:val="00393431"/>
    <w:rsid w:val="00393687"/>
    <w:rsid w:val="00393FE0"/>
    <w:rsid w:val="0039481B"/>
    <w:rsid w:val="003948E9"/>
    <w:rsid w:val="00394B18"/>
    <w:rsid w:val="00394CC5"/>
    <w:rsid w:val="00394E1F"/>
    <w:rsid w:val="00395944"/>
    <w:rsid w:val="00396BB6"/>
    <w:rsid w:val="00396D94"/>
    <w:rsid w:val="003971B0"/>
    <w:rsid w:val="00397211"/>
    <w:rsid w:val="00397561"/>
    <w:rsid w:val="00397923"/>
    <w:rsid w:val="003A006F"/>
    <w:rsid w:val="003A00DC"/>
    <w:rsid w:val="003A0E00"/>
    <w:rsid w:val="003A1883"/>
    <w:rsid w:val="003A3F46"/>
    <w:rsid w:val="003A4299"/>
    <w:rsid w:val="003A4B9A"/>
    <w:rsid w:val="003A4CDC"/>
    <w:rsid w:val="003A7E9B"/>
    <w:rsid w:val="003B0529"/>
    <w:rsid w:val="003B0AF7"/>
    <w:rsid w:val="003B152E"/>
    <w:rsid w:val="003B2B18"/>
    <w:rsid w:val="003B3100"/>
    <w:rsid w:val="003B3480"/>
    <w:rsid w:val="003B3A29"/>
    <w:rsid w:val="003B4DEB"/>
    <w:rsid w:val="003B4FEC"/>
    <w:rsid w:val="003C0BE0"/>
    <w:rsid w:val="003C17E3"/>
    <w:rsid w:val="003C2AC3"/>
    <w:rsid w:val="003C3F55"/>
    <w:rsid w:val="003C42F4"/>
    <w:rsid w:val="003C480C"/>
    <w:rsid w:val="003C5100"/>
    <w:rsid w:val="003C5BF9"/>
    <w:rsid w:val="003C62C3"/>
    <w:rsid w:val="003C68BE"/>
    <w:rsid w:val="003C7239"/>
    <w:rsid w:val="003C7301"/>
    <w:rsid w:val="003C7CCA"/>
    <w:rsid w:val="003D035B"/>
    <w:rsid w:val="003D0672"/>
    <w:rsid w:val="003D0801"/>
    <w:rsid w:val="003D15BA"/>
    <w:rsid w:val="003D26BC"/>
    <w:rsid w:val="003D27E8"/>
    <w:rsid w:val="003D2DFC"/>
    <w:rsid w:val="003D49AC"/>
    <w:rsid w:val="003D4DF7"/>
    <w:rsid w:val="003D5A74"/>
    <w:rsid w:val="003D6C13"/>
    <w:rsid w:val="003D6E6A"/>
    <w:rsid w:val="003D7A4C"/>
    <w:rsid w:val="003E078B"/>
    <w:rsid w:val="003E0D7C"/>
    <w:rsid w:val="003E0F4C"/>
    <w:rsid w:val="003E2008"/>
    <w:rsid w:val="003E2587"/>
    <w:rsid w:val="003E31C9"/>
    <w:rsid w:val="003E36B9"/>
    <w:rsid w:val="003E64DE"/>
    <w:rsid w:val="003E66C1"/>
    <w:rsid w:val="003E6B7C"/>
    <w:rsid w:val="003F0641"/>
    <w:rsid w:val="003F071A"/>
    <w:rsid w:val="003F17D3"/>
    <w:rsid w:val="003F1C41"/>
    <w:rsid w:val="003F2398"/>
    <w:rsid w:val="003F30DA"/>
    <w:rsid w:val="003F365D"/>
    <w:rsid w:val="003F369F"/>
    <w:rsid w:val="003F373A"/>
    <w:rsid w:val="003F4973"/>
    <w:rsid w:val="003F4B40"/>
    <w:rsid w:val="003F4D36"/>
    <w:rsid w:val="003F58ED"/>
    <w:rsid w:val="003F5FEC"/>
    <w:rsid w:val="003F6E55"/>
    <w:rsid w:val="003F729E"/>
    <w:rsid w:val="003F75AC"/>
    <w:rsid w:val="00400B12"/>
    <w:rsid w:val="004013B7"/>
    <w:rsid w:val="00402995"/>
    <w:rsid w:val="00402BEA"/>
    <w:rsid w:val="00403EB4"/>
    <w:rsid w:val="00404425"/>
    <w:rsid w:val="00404BCC"/>
    <w:rsid w:val="00405A11"/>
    <w:rsid w:val="00405A25"/>
    <w:rsid w:val="00405D82"/>
    <w:rsid w:val="00405F9A"/>
    <w:rsid w:val="00407201"/>
    <w:rsid w:val="004072DF"/>
    <w:rsid w:val="00410CE9"/>
    <w:rsid w:val="00410D13"/>
    <w:rsid w:val="00413138"/>
    <w:rsid w:val="004131B4"/>
    <w:rsid w:val="004142D4"/>
    <w:rsid w:val="00415A38"/>
    <w:rsid w:val="004160D0"/>
    <w:rsid w:val="00416E22"/>
    <w:rsid w:val="00416FF4"/>
    <w:rsid w:val="00421855"/>
    <w:rsid w:val="004219BA"/>
    <w:rsid w:val="0042493E"/>
    <w:rsid w:val="00424CCF"/>
    <w:rsid w:val="00424FBF"/>
    <w:rsid w:val="0042607A"/>
    <w:rsid w:val="0042749D"/>
    <w:rsid w:val="00427647"/>
    <w:rsid w:val="00430947"/>
    <w:rsid w:val="00430A20"/>
    <w:rsid w:val="00431203"/>
    <w:rsid w:val="0043129D"/>
    <w:rsid w:val="00431EB0"/>
    <w:rsid w:val="00432846"/>
    <w:rsid w:val="004328B6"/>
    <w:rsid w:val="00432B62"/>
    <w:rsid w:val="004349C1"/>
    <w:rsid w:val="0043520D"/>
    <w:rsid w:val="00435CFD"/>
    <w:rsid w:val="00436214"/>
    <w:rsid w:val="00437A92"/>
    <w:rsid w:val="004402FE"/>
    <w:rsid w:val="0044092B"/>
    <w:rsid w:val="00441A6B"/>
    <w:rsid w:val="0044246C"/>
    <w:rsid w:val="0044363C"/>
    <w:rsid w:val="00444284"/>
    <w:rsid w:val="00444EC8"/>
    <w:rsid w:val="004452B6"/>
    <w:rsid w:val="0044557B"/>
    <w:rsid w:val="0044688F"/>
    <w:rsid w:val="004477FF"/>
    <w:rsid w:val="00450C67"/>
    <w:rsid w:val="0045109E"/>
    <w:rsid w:val="00451AE7"/>
    <w:rsid w:val="00452B4E"/>
    <w:rsid w:val="004530E2"/>
    <w:rsid w:val="004536C3"/>
    <w:rsid w:val="00453AFD"/>
    <w:rsid w:val="0045476A"/>
    <w:rsid w:val="004549EB"/>
    <w:rsid w:val="00454A45"/>
    <w:rsid w:val="004551E5"/>
    <w:rsid w:val="00455C97"/>
    <w:rsid w:val="00456C60"/>
    <w:rsid w:val="0045776C"/>
    <w:rsid w:val="00461458"/>
    <w:rsid w:val="004646F8"/>
    <w:rsid w:val="0046569D"/>
    <w:rsid w:val="00465FA2"/>
    <w:rsid w:val="00466E73"/>
    <w:rsid w:val="0047002B"/>
    <w:rsid w:val="004700D2"/>
    <w:rsid w:val="00472366"/>
    <w:rsid w:val="00472FB2"/>
    <w:rsid w:val="004731F4"/>
    <w:rsid w:val="00473B70"/>
    <w:rsid w:val="00473C8F"/>
    <w:rsid w:val="00473F5A"/>
    <w:rsid w:val="004743EC"/>
    <w:rsid w:val="004745ED"/>
    <w:rsid w:val="00474E46"/>
    <w:rsid w:val="004755FE"/>
    <w:rsid w:val="00475F61"/>
    <w:rsid w:val="00477541"/>
    <w:rsid w:val="00477A5F"/>
    <w:rsid w:val="00480361"/>
    <w:rsid w:val="0048087C"/>
    <w:rsid w:val="00480BF9"/>
    <w:rsid w:val="0048174D"/>
    <w:rsid w:val="0048191D"/>
    <w:rsid w:val="00481DA3"/>
    <w:rsid w:val="004820D8"/>
    <w:rsid w:val="0048429A"/>
    <w:rsid w:val="00484ED9"/>
    <w:rsid w:val="00484FF2"/>
    <w:rsid w:val="004868FB"/>
    <w:rsid w:val="00487DC8"/>
    <w:rsid w:val="0049084C"/>
    <w:rsid w:val="004911DE"/>
    <w:rsid w:val="0049162F"/>
    <w:rsid w:val="004925E5"/>
    <w:rsid w:val="00492A7C"/>
    <w:rsid w:val="00492A84"/>
    <w:rsid w:val="00493886"/>
    <w:rsid w:val="004947C5"/>
    <w:rsid w:val="004962A2"/>
    <w:rsid w:val="004A0772"/>
    <w:rsid w:val="004A0932"/>
    <w:rsid w:val="004A0C60"/>
    <w:rsid w:val="004A0F3B"/>
    <w:rsid w:val="004A2876"/>
    <w:rsid w:val="004A2B08"/>
    <w:rsid w:val="004A373F"/>
    <w:rsid w:val="004A3F47"/>
    <w:rsid w:val="004A5824"/>
    <w:rsid w:val="004A677B"/>
    <w:rsid w:val="004A67FA"/>
    <w:rsid w:val="004A69AA"/>
    <w:rsid w:val="004A6B79"/>
    <w:rsid w:val="004A7773"/>
    <w:rsid w:val="004A7D46"/>
    <w:rsid w:val="004B0932"/>
    <w:rsid w:val="004B1C0B"/>
    <w:rsid w:val="004B21D7"/>
    <w:rsid w:val="004B2D43"/>
    <w:rsid w:val="004B3306"/>
    <w:rsid w:val="004B3CFA"/>
    <w:rsid w:val="004B4351"/>
    <w:rsid w:val="004B48B6"/>
    <w:rsid w:val="004B4906"/>
    <w:rsid w:val="004B4BFC"/>
    <w:rsid w:val="004B5470"/>
    <w:rsid w:val="004B5C10"/>
    <w:rsid w:val="004B68C6"/>
    <w:rsid w:val="004B6DF1"/>
    <w:rsid w:val="004B70CD"/>
    <w:rsid w:val="004B7461"/>
    <w:rsid w:val="004B7616"/>
    <w:rsid w:val="004C0FAD"/>
    <w:rsid w:val="004C1C8F"/>
    <w:rsid w:val="004C1FB5"/>
    <w:rsid w:val="004C2251"/>
    <w:rsid w:val="004C2FD5"/>
    <w:rsid w:val="004C358D"/>
    <w:rsid w:val="004C3805"/>
    <w:rsid w:val="004C3F01"/>
    <w:rsid w:val="004C4B61"/>
    <w:rsid w:val="004C4E9E"/>
    <w:rsid w:val="004C55F8"/>
    <w:rsid w:val="004C5729"/>
    <w:rsid w:val="004C5B1C"/>
    <w:rsid w:val="004C649F"/>
    <w:rsid w:val="004C65A0"/>
    <w:rsid w:val="004C65D6"/>
    <w:rsid w:val="004C6EEE"/>
    <w:rsid w:val="004D0112"/>
    <w:rsid w:val="004D0B1D"/>
    <w:rsid w:val="004D202D"/>
    <w:rsid w:val="004D2D58"/>
    <w:rsid w:val="004D2DEE"/>
    <w:rsid w:val="004D2EC6"/>
    <w:rsid w:val="004D32A4"/>
    <w:rsid w:val="004D38E2"/>
    <w:rsid w:val="004D3EF3"/>
    <w:rsid w:val="004D4660"/>
    <w:rsid w:val="004D4B87"/>
    <w:rsid w:val="004D58B3"/>
    <w:rsid w:val="004D5D80"/>
    <w:rsid w:val="004D6341"/>
    <w:rsid w:val="004E0449"/>
    <w:rsid w:val="004E1014"/>
    <w:rsid w:val="004E1688"/>
    <w:rsid w:val="004E199B"/>
    <w:rsid w:val="004E2041"/>
    <w:rsid w:val="004E253D"/>
    <w:rsid w:val="004E28FB"/>
    <w:rsid w:val="004E2CDE"/>
    <w:rsid w:val="004E3710"/>
    <w:rsid w:val="004E3AC8"/>
    <w:rsid w:val="004E3C8F"/>
    <w:rsid w:val="004E41D8"/>
    <w:rsid w:val="004E4BE7"/>
    <w:rsid w:val="004E568D"/>
    <w:rsid w:val="004E5F02"/>
    <w:rsid w:val="004E7E7B"/>
    <w:rsid w:val="004F0180"/>
    <w:rsid w:val="004F0286"/>
    <w:rsid w:val="004F2E86"/>
    <w:rsid w:val="004F3C6E"/>
    <w:rsid w:val="004F3D1E"/>
    <w:rsid w:val="004F77BA"/>
    <w:rsid w:val="00500158"/>
    <w:rsid w:val="00500E78"/>
    <w:rsid w:val="0050255B"/>
    <w:rsid w:val="00502A48"/>
    <w:rsid w:val="00503A4B"/>
    <w:rsid w:val="00505438"/>
    <w:rsid w:val="005054E3"/>
    <w:rsid w:val="005061F9"/>
    <w:rsid w:val="0050678C"/>
    <w:rsid w:val="00506CF8"/>
    <w:rsid w:val="00511AA4"/>
    <w:rsid w:val="00513081"/>
    <w:rsid w:val="00513C3D"/>
    <w:rsid w:val="0051421B"/>
    <w:rsid w:val="005142F8"/>
    <w:rsid w:val="005144B4"/>
    <w:rsid w:val="00514A26"/>
    <w:rsid w:val="00514E5B"/>
    <w:rsid w:val="0051555A"/>
    <w:rsid w:val="0051608E"/>
    <w:rsid w:val="00516A91"/>
    <w:rsid w:val="0051776D"/>
    <w:rsid w:val="00517B00"/>
    <w:rsid w:val="005202CA"/>
    <w:rsid w:val="00520796"/>
    <w:rsid w:val="005208B4"/>
    <w:rsid w:val="00522C45"/>
    <w:rsid w:val="00523681"/>
    <w:rsid w:val="00523C5D"/>
    <w:rsid w:val="005240B1"/>
    <w:rsid w:val="00525E01"/>
    <w:rsid w:val="0052645F"/>
    <w:rsid w:val="00526574"/>
    <w:rsid w:val="00527055"/>
    <w:rsid w:val="00527C95"/>
    <w:rsid w:val="00532193"/>
    <w:rsid w:val="00532D1F"/>
    <w:rsid w:val="00534200"/>
    <w:rsid w:val="00534263"/>
    <w:rsid w:val="005342EC"/>
    <w:rsid w:val="0053485D"/>
    <w:rsid w:val="00534BA9"/>
    <w:rsid w:val="00536902"/>
    <w:rsid w:val="00537D44"/>
    <w:rsid w:val="00540FA9"/>
    <w:rsid w:val="005421EA"/>
    <w:rsid w:val="005422E7"/>
    <w:rsid w:val="00542CF2"/>
    <w:rsid w:val="00542F47"/>
    <w:rsid w:val="00544400"/>
    <w:rsid w:val="00544DC0"/>
    <w:rsid w:val="00544FC1"/>
    <w:rsid w:val="00547029"/>
    <w:rsid w:val="0054739F"/>
    <w:rsid w:val="005478D0"/>
    <w:rsid w:val="00550174"/>
    <w:rsid w:val="00550F71"/>
    <w:rsid w:val="00551307"/>
    <w:rsid w:val="00551CCB"/>
    <w:rsid w:val="00551F01"/>
    <w:rsid w:val="00552C0B"/>
    <w:rsid w:val="005537ED"/>
    <w:rsid w:val="0055437F"/>
    <w:rsid w:val="00554921"/>
    <w:rsid w:val="00554E1D"/>
    <w:rsid w:val="00555E0D"/>
    <w:rsid w:val="00557C62"/>
    <w:rsid w:val="00560547"/>
    <w:rsid w:val="00561446"/>
    <w:rsid w:val="00561AB4"/>
    <w:rsid w:val="00562047"/>
    <w:rsid w:val="005629F6"/>
    <w:rsid w:val="00562C38"/>
    <w:rsid w:val="00563191"/>
    <w:rsid w:val="00563311"/>
    <w:rsid w:val="00563718"/>
    <w:rsid w:val="00564BCE"/>
    <w:rsid w:val="005659C5"/>
    <w:rsid w:val="00565AF7"/>
    <w:rsid w:val="0056679E"/>
    <w:rsid w:val="00566949"/>
    <w:rsid w:val="00566C09"/>
    <w:rsid w:val="0056718F"/>
    <w:rsid w:val="00567AC9"/>
    <w:rsid w:val="00567D89"/>
    <w:rsid w:val="00567F9A"/>
    <w:rsid w:val="005707FE"/>
    <w:rsid w:val="00571EAF"/>
    <w:rsid w:val="00572B0B"/>
    <w:rsid w:val="0057334D"/>
    <w:rsid w:val="00573613"/>
    <w:rsid w:val="00575102"/>
    <w:rsid w:val="005763D5"/>
    <w:rsid w:val="00576ACE"/>
    <w:rsid w:val="005770A2"/>
    <w:rsid w:val="005773E5"/>
    <w:rsid w:val="005775D8"/>
    <w:rsid w:val="00577894"/>
    <w:rsid w:val="00581546"/>
    <w:rsid w:val="005817C4"/>
    <w:rsid w:val="00581C2B"/>
    <w:rsid w:val="00582422"/>
    <w:rsid w:val="00582B26"/>
    <w:rsid w:val="00582E16"/>
    <w:rsid w:val="0058343C"/>
    <w:rsid w:val="005837B9"/>
    <w:rsid w:val="0058463B"/>
    <w:rsid w:val="005852FD"/>
    <w:rsid w:val="00585922"/>
    <w:rsid w:val="00585A61"/>
    <w:rsid w:val="00585DBE"/>
    <w:rsid w:val="00586472"/>
    <w:rsid w:val="00586E62"/>
    <w:rsid w:val="00586E64"/>
    <w:rsid w:val="005911FA"/>
    <w:rsid w:val="00591D0C"/>
    <w:rsid w:val="00593829"/>
    <w:rsid w:val="00593A8F"/>
    <w:rsid w:val="005943DB"/>
    <w:rsid w:val="0059507D"/>
    <w:rsid w:val="005958F1"/>
    <w:rsid w:val="00595C20"/>
    <w:rsid w:val="00595DC9"/>
    <w:rsid w:val="00597121"/>
    <w:rsid w:val="00597BE9"/>
    <w:rsid w:val="00597D35"/>
    <w:rsid w:val="005A0434"/>
    <w:rsid w:val="005A0733"/>
    <w:rsid w:val="005A0C1D"/>
    <w:rsid w:val="005A0CF0"/>
    <w:rsid w:val="005A0E74"/>
    <w:rsid w:val="005A153F"/>
    <w:rsid w:val="005A20EA"/>
    <w:rsid w:val="005A27DF"/>
    <w:rsid w:val="005A30A0"/>
    <w:rsid w:val="005A41FA"/>
    <w:rsid w:val="005A5E03"/>
    <w:rsid w:val="005A6165"/>
    <w:rsid w:val="005A770D"/>
    <w:rsid w:val="005A79BA"/>
    <w:rsid w:val="005A7C77"/>
    <w:rsid w:val="005B06E9"/>
    <w:rsid w:val="005B1780"/>
    <w:rsid w:val="005B1A2C"/>
    <w:rsid w:val="005B1B7F"/>
    <w:rsid w:val="005B22E9"/>
    <w:rsid w:val="005B2894"/>
    <w:rsid w:val="005B2E4D"/>
    <w:rsid w:val="005B359E"/>
    <w:rsid w:val="005B3BAD"/>
    <w:rsid w:val="005B5959"/>
    <w:rsid w:val="005B665B"/>
    <w:rsid w:val="005B7B3F"/>
    <w:rsid w:val="005C15A3"/>
    <w:rsid w:val="005C1D8B"/>
    <w:rsid w:val="005C230E"/>
    <w:rsid w:val="005C277C"/>
    <w:rsid w:val="005C278D"/>
    <w:rsid w:val="005C3B76"/>
    <w:rsid w:val="005C3DA5"/>
    <w:rsid w:val="005C4004"/>
    <w:rsid w:val="005C4426"/>
    <w:rsid w:val="005C47FE"/>
    <w:rsid w:val="005C4EB4"/>
    <w:rsid w:val="005C507A"/>
    <w:rsid w:val="005C5C9D"/>
    <w:rsid w:val="005C6284"/>
    <w:rsid w:val="005C6420"/>
    <w:rsid w:val="005C6934"/>
    <w:rsid w:val="005C6973"/>
    <w:rsid w:val="005C6B24"/>
    <w:rsid w:val="005D052B"/>
    <w:rsid w:val="005D0D7E"/>
    <w:rsid w:val="005D23B9"/>
    <w:rsid w:val="005D273C"/>
    <w:rsid w:val="005D2A11"/>
    <w:rsid w:val="005D2A4D"/>
    <w:rsid w:val="005D3A23"/>
    <w:rsid w:val="005D3F2A"/>
    <w:rsid w:val="005D4757"/>
    <w:rsid w:val="005D5D15"/>
    <w:rsid w:val="005D600B"/>
    <w:rsid w:val="005D730B"/>
    <w:rsid w:val="005E008C"/>
    <w:rsid w:val="005E0130"/>
    <w:rsid w:val="005E0765"/>
    <w:rsid w:val="005E0ABE"/>
    <w:rsid w:val="005E21EE"/>
    <w:rsid w:val="005E295B"/>
    <w:rsid w:val="005E2A47"/>
    <w:rsid w:val="005E2A7E"/>
    <w:rsid w:val="005E34ED"/>
    <w:rsid w:val="005E4170"/>
    <w:rsid w:val="005E51AA"/>
    <w:rsid w:val="005E689C"/>
    <w:rsid w:val="005F16F1"/>
    <w:rsid w:val="005F23F1"/>
    <w:rsid w:val="005F2934"/>
    <w:rsid w:val="005F3899"/>
    <w:rsid w:val="005F3F7A"/>
    <w:rsid w:val="005F4104"/>
    <w:rsid w:val="005F4DB2"/>
    <w:rsid w:val="005F69C4"/>
    <w:rsid w:val="005F6B32"/>
    <w:rsid w:val="005F774D"/>
    <w:rsid w:val="00601CBB"/>
    <w:rsid w:val="00601EDD"/>
    <w:rsid w:val="0060242D"/>
    <w:rsid w:val="006029B5"/>
    <w:rsid w:val="00604DD7"/>
    <w:rsid w:val="00605C59"/>
    <w:rsid w:val="0060618F"/>
    <w:rsid w:val="00606557"/>
    <w:rsid w:val="006075F5"/>
    <w:rsid w:val="0060791E"/>
    <w:rsid w:val="006079B1"/>
    <w:rsid w:val="00610324"/>
    <w:rsid w:val="006125BB"/>
    <w:rsid w:val="00613DD8"/>
    <w:rsid w:val="00615940"/>
    <w:rsid w:val="00615B36"/>
    <w:rsid w:val="006170A6"/>
    <w:rsid w:val="006171DE"/>
    <w:rsid w:val="006178D3"/>
    <w:rsid w:val="00620C2F"/>
    <w:rsid w:val="00620E0B"/>
    <w:rsid w:val="00621EE9"/>
    <w:rsid w:val="00622814"/>
    <w:rsid w:val="00624277"/>
    <w:rsid w:val="00624BE7"/>
    <w:rsid w:val="00626B73"/>
    <w:rsid w:val="00626BDF"/>
    <w:rsid w:val="00626DA1"/>
    <w:rsid w:val="0062701B"/>
    <w:rsid w:val="00627682"/>
    <w:rsid w:val="0062772E"/>
    <w:rsid w:val="00630CE5"/>
    <w:rsid w:val="00631A71"/>
    <w:rsid w:val="00631E7B"/>
    <w:rsid w:val="00633B3E"/>
    <w:rsid w:val="00634F69"/>
    <w:rsid w:val="00635875"/>
    <w:rsid w:val="006360AB"/>
    <w:rsid w:val="006362A6"/>
    <w:rsid w:val="006366D3"/>
    <w:rsid w:val="006367AF"/>
    <w:rsid w:val="00636F77"/>
    <w:rsid w:val="00637CFB"/>
    <w:rsid w:val="00637FBF"/>
    <w:rsid w:val="00641EA1"/>
    <w:rsid w:val="00642D23"/>
    <w:rsid w:val="00642FF2"/>
    <w:rsid w:val="00645562"/>
    <w:rsid w:val="00645DFE"/>
    <w:rsid w:val="006463C6"/>
    <w:rsid w:val="00646AF9"/>
    <w:rsid w:val="00650668"/>
    <w:rsid w:val="006508EB"/>
    <w:rsid w:val="00650B55"/>
    <w:rsid w:val="00652B01"/>
    <w:rsid w:val="006535EA"/>
    <w:rsid w:val="00653BCF"/>
    <w:rsid w:val="006541F6"/>
    <w:rsid w:val="00654CAC"/>
    <w:rsid w:val="00655DC9"/>
    <w:rsid w:val="0065629A"/>
    <w:rsid w:val="00656414"/>
    <w:rsid w:val="00657711"/>
    <w:rsid w:val="00660802"/>
    <w:rsid w:val="00661472"/>
    <w:rsid w:val="00661652"/>
    <w:rsid w:val="006618A9"/>
    <w:rsid w:val="00662E5F"/>
    <w:rsid w:val="00664352"/>
    <w:rsid w:val="00665748"/>
    <w:rsid w:val="006661D1"/>
    <w:rsid w:val="006662A3"/>
    <w:rsid w:val="00666373"/>
    <w:rsid w:val="0066770E"/>
    <w:rsid w:val="00670A72"/>
    <w:rsid w:val="00670C5A"/>
    <w:rsid w:val="006710D7"/>
    <w:rsid w:val="006716F0"/>
    <w:rsid w:val="00672FF3"/>
    <w:rsid w:val="006734B1"/>
    <w:rsid w:val="00673703"/>
    <w:rsid w:val="0067391C"/>
    <w:rsid w:val="0067451D"/>
    <w:rsid w:val="00675D83"/>
    <w:rsid w:val="00676484"/>
    <w:rsid w:val="00676EA8"/>
    <w:rsid w:val="006776C2"/>
    <w:rsid w:val="00677C0F"/>
    <w:rsid w:val="00677F58"/>
    <w:rsid w:val="00680502"/>
    <w:rsid w:val="006805A2"/>
    <w:rsid w:val="00681706"/>
    <w:rsid w:val="00681AD5"/>
    <w:rsid w:val="00681C5E"/>
    <w:rsid w:val="00681E72"/>
    <w:rsid w:val="006831E5"/>
    <w:rsid w:val="0068338D"/>
    <w:rsid w:val="00683957"/>
    <w:rsid w:val="006843DA"/>
    <w:rsid w:val="00684A27"/>
    <w:rsid w:val="00684A42"/>
    <w:rsid w:val="00685076"/>
    <w:rsid w:val="006852C4"/>
    <w:rsid w:val="00685A78"/>
    <w:rsid w:val="00685FCB"/>
    <w:rsid w:val="006873C4"/>
    <w:rsid w:val="006877FD"/>
    <w:rsid w:val="00687AA3"/>
    <w:rsid w:val="006906FF"/>
    <w:rsid w:val="00690954"/>
    <w:rsid w:val="00691779"/>
    <w:rsid w:val="00692392"/>
    <w:rsid w:val="00692414"/>
    <w:rsid w:val="00693B56"/>
    <w:rsid w:val="006958A4"/>
    <w:rsid w:val="00695CF9"/>
    <w:rsid w:val="00696E16"/>
    <w:rsid w:val="00697019"/>
    <w:rsid w:val="006A090B"/>
    <w:rsid w:val="006A0DB8"/>
    <w:rsid w:val="006A1035"/>
    <w:rsid w:val="006A113A"/>
    <w:rsid w:val="006A1B1F"/>
    <w:rsid w:val="006A1CBF"/>
    <w:rsid w:val="006A236C"/>
    <w:rsid w:val="006A2ECC"/>
    <w:rsid w:val="006A30EF"/>
    <w:rsid w:val="006A3C0F"/>
    <w:rsid w:val="006A46E7"/>
    <w:rsid w:val="006A473C"/>
    <w:rsid w:val="006A4AD8"/>
    <w:rsid w:val="006A4ADA"/>
    <w:rsid w:val="006A4C3E"/>
    <w:rsid w:val="006A5255"/>
    <w:rsid w:val="006A54AC"/>
    <w:rsid w:val="006A5C01"/>
    <w:rsid w:val="006A5C11"/>
    <w:rsid w:val="006A71C6"/>
    <w:rsid w:val="006A7E07"/>
    <w:rsid w:val="006A7F40"/>
    <w:rsid w:val="006B0841"/>
    <w:rsid w:val="006B0A14"/>
    <w:rsid w:val="006B2137"/>
    <w:rsid w:val="006B3D30"/>
    <w:rsid w:val="006B49E4"/>
    <w:rsid w:val="006B522F"/>
    <w:rsid w:val="006B5542"/>
    <w:rsid w:val="006B5597"/>
    <w:rsid w:val="006B561C"/>
    <w:rsid w:val="006B5E7F"/>
    <w:rsid w:val="006B6440"/>
    <w:rsid w:val="006C0558"/>
    <w:rsid w:val="006C168F"/>
    <w:rsid w:val="006C1D1B"/>
    <w:rsid w:val="006C281C"/>
    <w:rsid w:val="006C2F44"/>
    <w:rsid w:val="006C4510"/>
    <w:rsid w:val="006C796D"/>
    <w:rsid w:val="006C7BE7"/>
    <w:rsid w:val="006C7FB1"/>
    <w:rsid w:val="006D20AF"/>
    <w:rsid w:val="006D230D"/>
    <w:rsid w:val="006D3CB7"/>
    <w:rsid w:val="006D5719"/>
    <w:rsid w:val="006D5C52"/>
    <w:rsid w:val="006D5F6F"/>
    <w:rsid w:val="006D6133"/>
    <w:rsid w:val="006D647D"/>
    <w:rsid w:val="006D727C"/>
    <w:rsid w:val="006D7B62"/>
    <w:rsid w:val="006D7E17"/>
    <w:rsid w:val="006E0231"/>
    <w:rsid w:val="006E0CB2"/>
    <w:rsid w:val="006E0EE8"/>
    <w:rsid w:val="006E16A4"/>
    <w:rsid w:val="006E24FB"/>
    <w:rsid w:val="006E2FAD"/>
    <w:rsid w:val="006E37C8"/>
    <w:rsid w:val="006E4136"/>
    <w:rsid w:val="006E5495"/>
    <w:rsid w:val="006E59B6"/>
    <w:rsid w:val="006E69C1"/>
    <w:rsid w:val="006E6AD5"/>
    <w:rsid w:val="006F0931"/>
    <w:rsid w:val="006F0BE6"/>
    <w:rsid w:val="006F1184"/>
    <w:rsid w:val="006F1E9C"/>
    <w:rsid w:val="006F2176"/>
    <w:rsid w:val="006F2986"/>
    <w:rsid w:val="006F2A82"/>
    <w:rsid w:val="006F38C2"/>
    <w:rsid w:val="006F416D"/>
    <w:rsid w:val="006F46BF"/>
    <w:rsid w:val="006F5949"/>
    <w:rsid w:val="006F5A0A"/>
    <w:rsid w:val="006F6615"/>
    <w:rsid w:val="006F7696"/>
    <w:rsid w:val="006F7C19"/>
    <w:rsid w:val="0070051C"/>
    <w:rsid w:val="00702D6F"/>
    <w:rsid w:val="00702FAA"/>
    <w:rsid w:val="0070305F"/>
    <w:rsid w:val="0070317D"/>
    <w:rsid w:val="007031F6"/>
    <w:rsid w:val="0070454D"/>
    <w:rsid w:val="00705058"/>
    <w:rsid w:val="00705D77"/>
    <w:rsid w:val="007061CC"/>
    <w:rsid w:val="00706599"/>
    <w:rsid w:val="00706E13"/>
    <w:rsid w:val="00706E73"/>
    <w:rsid w:val="007076DD"/>
    <w:rsid w:val="007076F8"/>
    <w:rsid w:val="007077A1"/>
    <w:rsid w:val="00710B8B"/>
    <w:rsid w:val="00711373"/>
    <w:rsid w:val="00711773"/>
    <w:rsid w:val="00712645"/>
    <w:rsid w:val="00712658"/>
    <w:rsid w:val="00712B3F"/>
    <w:rsid w:val="00713BEE"/>
    <w:rsid w:val="00713DF3"/>
    <w:rsid w:val="00714270"/>
    <w:rsid w:val="00714FB6"/>
    <w:rsid w:val="00715970"/>
    <w:rsid w:val="00715F06"/>
    <w:rsid w:val="007166AB"/>
    <w:rsid w:val="00716CB8"/>
    <w:rsid w:val="00717774"/>
    <w:rsid w:val="0071795C"/>
    <w:rsid w:val="00717D27"/>
    <w:rsid w:val="00717E74"/>
    <w:rsid w:val="00721CF0"/>
    <w:rsid w:val="0072411C"/>
    <w:rsid w:val="00724BE8"/>
    <w:rsid w:val="00724D1F"/>
    <w:rsid w:val="00725468"/>
    <w:rsid w:val="0072607C"/>
    <w:rsid w:val="007267DE"/>
    <w:rsid w:val="00726CC1"/>
    <w:rsid w:val="007271DA"/>
    <w:rsid w:val="0072772C"/>
    <w:rsid w:val="007278B3"/>
    <w:rsid w:val="00727DAB"/>
    <w:rsid w:val="00731A1D"/>
    <w:rsid w:val="00731C04"/>
    <w:rsid w:val="00732CDC"/>
    <w:rsid w:val="00733265"/>
    <w:rsid w:val="00733D40"/>
    <w:rsid w:val="007342BA"/>
    <w:rsid w:val="00734F4E"/>
    <w:rsid w:val="00735B14"/>
    <w:rsid w:val="0073615C"/>
    <w:rsid w:val="00736474"/>
    <w:rsid w:val="00736ECB"/>
    <w:rsid w:val="00737436"/>
    <w:rsid w:val="007408EF"/>
    <w:rsid w:val="00740F5F"/>
    <w:rsid w:val="00741E52"/>
    <w:rsid w:val="00742106"/>
    <w:rsid w:val="00743F27"/>
    <w:rsid w:val="0074567F"/>
    <w:rsid w:val="0074620B"/>
    <w:rsid w:val="0074718B"/>
    <w:rsid w:val="00750F45"/>
    <w:rsid w:val="00751D16"/>
    <w:rsid w:val="007521A0"/>
    <w:rsid w:val="007546F4"/>
    <w:rsid w:val="00755B25"/>
    <w:rsid w:val="00755D31"/>
    <w:rsid w:val="00755DD0"/>
    <w:rsid w:val="00755EC7"/>
    <w:rsid w:val="00757204"/>
    <w:rsid w:val="00760CEC"/>
    <w:rsid w:val="007611BF"/>
    <w:rsid w:val="007613CA"/>
    <w:rsid w:val="00762432"/>
    <w:rsid w:val="00762987"/>
    <w:rsid w:val="00762E63"/>
    <w:rsid w:val="007631BC"/>
    <w:rsid w:val="007636E1"/>
    <w:rsid w:val="00763716"/>
    <w:rsid w:val="007637EA"/>
    <w:rsid w:val="00764AB7"/>
    <w:rsid w:val="00764B7F"/>
    <w:rsid w:val="00765573"/>
    <w:rsid w:val="00765A69"/>
    <w:rsid w:val="00765C13"/>
    <w:rsid w:val="0076610B"/>
    <w:rsid w:val="007667B2"/>
    <w:rsid w:val="00766882"/>
    <w:rsid w:val="00766F19"/>
    <w:rsid w:val="007675D9"/>
    <w:rsid w:val="00767D6E"/>
    <w:rsid w:val="00770FCD"/>
    <w:rsid w:val="00771209"/>
    <w:rsid w:val="00771986"/>
    <w:rsid w:val="00772151"/>
    <w:rsid w:val="00772189"/>
    <w:rsid w:val="007731F5"/>
    <w:rsid w:val="0077398D"/>
    <w:rsid w:val="00774343"/>
    <w:rsid w:val="00774EC8"/>
    <w:rsid w:val="00775329"/>
    <w:rsid w:val="00775BBF"/>
    <w:rsid w:val="00775CBF"/>
    <w:rsid w:val="00776E7B"/>
    <w:rsid w:val="00777C68"/>
    <w:rsid w:val="00777E8B"/>
    <w:rsid w:val="0078009E"/>
    <w:rsid w:val="00780D3D"/>
    <w:rsid w:val="00781C7C"/>
    <w:rsid w:val="00781D63"/>
    <w:rsid w:val="007821AD"/>
    <w:rsid w:val="0078239E"/>
    <w:rsid w:val="007823DC"/>
    <w:rsid w:val="0078286A"/>
    <w:rsid w:val="00782B17"/>
    <w:rsid w:val="00783266"/>
    <w:rsid w:val="00783271"/>
    <w:rsid w:val="00783C63"/>
    <w:rsid w:val="00785AB5"/>
    <w:rsid w:val="00786979"/>
    <w:rsid w:val="00787082"/>
    <w:rsid w:val="007870B5"/>
    <w:rsid w:val="007875C0"/>
    <w:rsid w:val="007878ED"/>
    <w:rsid w:val="00791653"/>
    <w:rsid w:val="00791A36"/>
    <w:rsid w:val="00792ADE"/>
    <w:rsid w:val="00792CA1"/>
    <w:rsid w:val="0079329B"/>
    <w:rsid w:val="007933CB"/>
    <w:rsid w:val="00793E30"/>
    <w:rsid w:val="00794896"/>
    <w:rsid w:val="0079492E"/>
    <w:rsid w:val="00796DE7"/>
    <w:rsid w:val="00797DC2"/>
    <w:rsid w:val="00797E82"/>
    <w:rsid w:val="007A25F1"/>
    <w:rsid w:val="007A2673"/>
    <w:rsid w:val="007A349C"/>
    <w:rsid w:val="007A38CF"/>
    <w:rsid w:val="007A571D"/>
    <w:rsid w:val="007A5BAE"/>
    <w:rsid w:val="007A5F99"/>
    <w:rsid w:val="007A6197"/>
    <w:rsid w:val="007A6604"/>
    <w:rsid w:val="007A6B9B"/>
    <w:rsid w:val="007A7E92"/>
    <w:rsid w:val="007A7FC1"/>
    <w:rsid w:val="007B00E3"/>
    <w:rsid w:val="007B0768"/>
    <w:rsid w:val="007B0D71"/>
    <w:rsid w:val="007B18E4"/>
    <w:rsid w:val="007B1C93"/>
    <w:rsid w:val="007B26AD"/>
    <w:rsid w:val="007B2702"/>
    <w:rsid w:val="007B2B39"/>
    <w:rsid w:val="007B30C9"/>
    <w:rsid w:val="007B3900"/>
    <w:rsid w:val="007B6275"/>
    <w:rsid w:val="007B69B7"/>
    <w:rsid w:val="007B6CC5"/>
    <w:rsid w:val="007C016D"/>
    <w:rsid w:val="007C0E7B"/>
    <w:rsid w:val="007C1272"/>
    <w:rsid w:val="007C26B9"/>
    <w:rsid w:val="007C2F59"/>
    <w:rsid w:val="007C30A4"/>
    <w:rsid w:val="007C31DF"/>
    <w:rsid w:val="007C492E"/>
    <w:rsid w:val="007C4BCD"/>
    <w:rsid w:val="007C606E"/>
    <w:rsid w:val="007C66D6"/>
    <w:rsid w:val="007C67EB"/>
    <w:rsid w:val="007C67ED"/>
    <w:rsid w:val="007C7F5D"/>
    <w:rsid w:val="007D050F"/>
    <w:rsid w:val="007D14CC"/>
    <w:rsid w:val="007D1B89"/>
    <w:rsid w:val="007D237E"/>
    <w:rsid w:val="007D283D"/>
    <w:rsid w:val="007D2CF0"/>
    <w:rsid w:val="007D3D28"/>
    <w:rsid w:val="007D5602"/>
    <w:rsid w:val="007D6022"/>
    <w:rsid w:val="007D79A2"/>
    <w:rsid w:val="007D7D19"/>
    <w:rsid w:val="007D7FB9"/>
    <w:rsid w:val="007E024E"/>
    <w:rsid w:val="007E06EB"/>
    <w:rsid w:val="007E097A"/>
    <w:rsid w:val="007E0C72"/>
    <w:rsid w:val="007E0F79"/>
    <w:rsid w:val="007E2729"/>
    <w:rsid w:val="007E2870"/>
    <w:rsid w:val="007E29EF"/>
    <w:rsid w:val="007E2DF5"/>
    <w:rsid w:val="007E3016"/>
    <w:rsid w:val="007E329D"/>
    <w:rsid w:val="007E3914"/>
    <w:rsid w:val="007E3A5D"/>
    <w:rsid w:val="007E3AF8"/>
    <w:rsid w:val="007E440C"/>
    <w:rsid w:val="007E4A34"/>
    <w:rsid w:val="007E4ABB"/>
    <w:rsid w:val="007E55FE"/>
    <w:rsid w:val="007E5ACD"/>
    <w:rsid w:val="007E6B08"/>
    <w:rsid w:val="007E6CD6"/>
    <w:rsid w:val="007E72C7"/>
    <w:rsid w:val="007E7A81"/>
    <w:rsid w:val="007F0C4D"/>
    <w:rsid w:val="007F104E"/>
    <w:rsid w:val="007F1592"/>
    <w:rsid w:val="007F23AD"/>
    <w:rsid w:val="007F2406"/>
    <w:rsid w:val="007F2FBF"/>
    <w:rsid w:val="007F585E"/>
    <w:rsid w:val="007F5BFA"/>
    <w:rsid w:val="007F5CE3"/>
    <w:rsid w:val="007F78F4"/>
    <w:rsid w:val="00800493"/>
    <w:rsid w:val="00800D12"/>
    <w:rsid w:val="00801618"/>
    <w:rsid w:val="008017FC"/>
    <w:rsid w:val="00801943"/>
    <w:rsid w:val="00801D7F"/>
    <w:rsid w:val="00802E51"/>
    <w:rsid w:val="00803B87"/>
    <w:rsid w:val="0080403C"/>
    <w:rsid w:val="00804120"/>
    <w:rsid w:val="00804235"/>
    <w:rsid w:val="008042A4"/>
    <w:rsid w:val="00804327"/>
    <w:rsid w:val="00804409"/>
    <w:rsid w:val="00804740"/>
    <w:rsid w:val="00804CF2"/>
    <w:rsid w:val="00807C1E"/>
    <w:rsid w:val="00807F19"/>
    <w:rsid w:val="00810ACA"/>
    <w:rsid w:val="00810FD8"/>
    <w:rsid w:val="008113ED"/>
    <w:rsid w:val="00811C44"/>
    <w:rsid w:val="00811D07"/>
    <w:rsid w:val="008127AE"/>
    <w:rsid w:val="0081289A"/>
    <w:rsid w:val="00812CB1"/>
    <w:rsid w:val="00812D2E"/>
    <w:rsid w:val="00812D77"/>
    <w:rsid w:val="00813200"/>
    <w:rsid w:val="00814485"/>
    <w:rsid w:val="00814D29"/>
    <w:rsid w:val="00815A49"/>
    <w:rsid w:val="00815B09"/>
    <w:rsid w:val="00815FE2"/>
    <w:rsid w:val="008163BB"/>
    <w:rsid w:val="00816658"/>
    <w:rsid w:val="00817402"/>
    <w:rsid w:val="008204B9"/>
    <w:rsid w:val="008205DB"/>
    <w:rsid w:val="0082069E"/>
    <w:rsid w:val="00820CF2"/>
    <w:rsid w:val="00821086"/>
    <w:rsid w:val="008212F2"/>
    <w:rsid w:val="00823B53"/>
    <w:rsid w:val="00823C27"/>
    <w:rsid w:val="00824706"/>
    <w:rsid w:val="00824AED"/>
    <w:rsid w:val="00826518"/>
    <w:rsid w:val="00826EE9"/>
    <w:rsid w:val="0082780F"/>
    <w:rsid w:val="00830E77"/>
    <w:rsid w:val="00831777"/>
    <w:rsid w:val="008327D4"/>
    <w:rsid w:val="00832C7B"/>
    <w:rsid w:val="00832D24"/>
    <w:rsid w:val="008335CA"/>
    <w:rsid w:val="0083548E"/>
    <w:rsid w:val="00835947"/>
    <w:rsid w:val="00835D4C"/>
    <w:rsid w:val="008360CF"/>
    <w:rsid w:val="00836D57"/>
    <w:rsid w:val="008375A8"/>
    <w:rsid w:val="008427CB"/>
    <w:rsid w:val="008428B8"/>
    <w:rsid w:val="00842E74"/>
    <w:rsid w:val="00843ADC"/>
    <w:rsid w:val="00843CFA"/>
    <w:rsid w:val="008441AC"/>
    <w:rsid w:val="00847F8D"/>
    <w:rsid w:val="00851054"/>
    <w:rsid w:val="008519E9"/>
    <w:rsid w:val="008527F8"/>
    <w:rsid w:val="00852F30"/>
    <w:rsid w:val="00852FB5"/>
    <w:rsid w:val="00853AB4"/>
    <w:rsid w:val="00854BFD"/>
    <w:rsid w:val="008559A0"/>
    <w:rsid w:val="00856585"/>
    <w:rsid w:val="00856C41"/>
    <w:rsid w:val="00857020"/>
    <w:rsid w:val="00857028"/>
    <w:rsid w:val="008573F8"/>
    <w:rsid w:val="00857746"/>
    <w:rsid w:val="0086056C"/>
    <w:rsid w:val="00860747"/>
    <w:rsid w:val="00860B36"/>
    <w:rsid w:val="00861EA0"/>
    <w:rsid w:val="008629D0"/>
    <w:rsid w:val="008631E7"/>
    <w:rsid w:val="0086326C"/>
    <w:rsid w:val="00864582"/>
    <w:rsid w:val="00866985"/>
    <w:rsid w:val="008673F1"/>
    <w:rsid w:val="008674E1"/>
    <w:rsid w:val="00867568"/>
    <w:rsid w:val="00867FA1"/>
    <w:rsid w:val="0087011E"/>
    <w:rsid w:val="00870552"/>
    <w:rsid w:val="0087062A"/>
    <w:rsid w:val="0087110A"/>
    <w:rsid w:val="0087130A"/>
    <w:rsid w:val="0087189A"/>
    <w:rsid w:val="00871FF5"/>
    <w:rsid w:val="00873AD0"/>
    <w:rsid w:val="00873EB1"/>
    <w:rsid w:val="008745F4"/>
    <w:rsid w:val="008747B8"/>
    <w:rsid w:val="008748F2"/>
    <w:rsid w:val="00874AE1"/>
    <w:rsid w:val="0087541C"/>
    <w:rsid w:val="0087576C"/>
    <w:rsid w:val="00875CC1"/>
    <w:rsid w:val="008766D2"/>
    <w:rsid w:val="008766E8"/>
    <w:rsid w:val="00876D30"/>
    <w:rsid w:val="008776C8"/>
    <w:rsid w:val="00877F84"/>
    <w:rsid w:val="0088036D"/>
    <w:rsid w:val="00881014"/>
    <w:rsid w:val="00881C92"/>
    <w:rsid w:val="00881F77"/>
    <w:rsid w:val="0088269E"/>
    <w:rsid w:val="008827FF"/>
    <w:rsid w:val="00883A41"/>
    <w:rsid w:val="00883AB0"/>
    <w:rsid w:val="008852F3"/>
    <w:rsid w:val="00885D63"/>
    <w:rsid w:val="00886F2D"/>
    <w:rsid w:val="0088711F"/>
    <w:rsid w:val="00887810"/>
    <w:rsid w:val="0089078A"/>
    <w:rsid w:val="00890CA3"/>
    <w:rsid w:val="0089262C"/>
    <w:rsid w:val="0089317E"/>
    <w:rsid w:val="008933A7"/>
    <w:rsid w:val="00894CAC"/>
    <w:rsid w:val="00894E71"/>
    <w:rsid w:val="00894F87"/>
    <w:rsid w:val="00896AFF"/>
    <w:rsid w:val="00896FE8"/>
    <w:rsid w:val="008973A9"/>
    <w:rsid w:val="008973E0"/>
    <w:rsid w:val="008A057A"/>
    <w:rsid w:val="008A0600"/>
    <w:rsid w:val="008A088E"/>
    <w:rsid w:val="008A10CB"/>
    <w:rsid w:val="008A187F"/>
    <w:rsid w:val="008A1B31"/>
    <w:rsid w:val="008A1FCC"/>
    <w:rsid w:val="008A231B"/>
    <w:rsid w:val="008A26FE"/>
    <w:rsid w:val="008A2A20"/>
    <w:rsid w:val="008A44BC"/>
    <w:rsid w:val="008A45D1"/>
    <w:rsid w:val="008A4CBD"/>
    <w:rsid w:val="008A51A6"/>
    <w:rsid w:val="008A65DF"/>
    <w:rsid w:val="008A7264"/>
    <w:rsid w:val="008B2053"/>
    <w:rsid w:val="008B26EC"/>
    <w:rsid w:val="008B27FE"/>
    <w:rsid w:val="008B2887"/>
    <w:rsid w:val="008B2E2F"/>
    <w:rsid w:val="008B4369"/>
    <w:rsid w:val="008B46BA"/>
    <w:rsid w:val="008B46BC"/>
    <w:rsid w:val="008B7A04"/>
    <w:rsid w:val="008B7A52"/>
    <w:rsid w:val="008C08EE"/>
    <w:rsid w:val="008C098F"/>
    <w:rsid w:val="008C0CF0"/>
    <w:rsid w:val="008C15B0"/>
    <w:rsid w:val="008C26A2"/>
    <w:rsid w:val="008C270C"/>
    <w:rsid w:val="008C280C"/>
    <w:rsid w:val="008C31CD"/>
    <w:rsid w:val="008C3EA5"/>
    <w:rsid w:val="008C4773"/>
    <w:rsid w:val="008C57B8"/>
    <w:rsid w:val="008C5B0D"/>
    <w:rsid w:val="008C5F51"/>
    <w:rsid w:val="008C5FC0"/>
    <w:rsid w:val="008C6027"/>
    <w:rsid w:val="008C68A4"/>
    <w:rsid w:val="008C6E28"/>
    <w:rsid w:val="008C7434"/>
    <w:rsid w:val="008C7916"/>
    <w:rsid w:val="008C7991"/>
    <w:rsid w:val="008D042C"/>
    <w:rsid w:val="008D07E1"/>
    <w:rsid w:val="008D0E6D"/>
    <w:rsid w:val="008D10A4"/>
    <w:rsid w:val="008D156F"/>
    <w:rsid w:val="008D17CE"/>
    <w:rsid w:val="008D2C9D"/>
    <w:rsid w:val="008D2CB6"/>
    <w:rsid w:val="008D5A3D"/>
    <w:rsid w:val="008D5EAC"/>
    <w:rsid w:val="008D633F"/>
    <w:rsid w:val="008D6D4C"/>
    <w:rsid w:val="008D71A7"/>
    <w:rsid w:val="008D78BF"/>
    <w:rsid w:val="008E0B04"/>
    <w:rsid w:val="008E0DAA"/>
    <w:rsid w:val="008E1003"/>
    <w:rsid w:val="008E14E9"/>
    <w:rsid w:val="008E17B4"/>
    <w:rsid w:val="008E1A8F"/>
    <w:rsid w:val="008E22D3"/>
    <w:rsid w:val="008E234C"/>
    <w:rsid w:val="008E24A5"/>
    <w:rsid w:val="008E26A4"/>
    <w:rsid w:val="008E2753"/>
    <w:rsid w:val="008E3237"/>
    <w:rsid w:val="008E3D72"/>
    <w:rsid w:val="008E42BC"/>
    <w:rsid w:val="008E4521"/>
    <w:rsid w:val="008E4D76"/>
    <w:rsid w:val="008E5895"/>
    <w:rsid w:val="008E70D5"/>
    <w:rsid w:val="008E7839"/>
    <w:rsid w:val="008E7CFA"/>
    <w:rsid w:val="008E7DF1"/>
    <w:rsid w:val="008E7EE7"/>
    <w:rsid w:val="008F00B5"/>
    <w:rsid w:val="008F0471"/>
    <w:rsid w:val="008F080E"/>
    <w:rsid w:val="008F0D32"/>
    <w:rsid w:val="008F1252"/>
    <w:rsid w:val="008F2578"/>
    <w:rsid w:val="008F27B8"/>
    <w:rsid w:val="008F2965"/>
    <w:rsid w:val="008F3096"/>
    <w:rsid w:val="008F3EC9"/>
    <w:rsid w:val="008F457F"/>
    <w:rsid w:val="008F45F7"/>
    <w:rsid w:val="008F4DDB"/>
    <w:rsid w:val="008F597F"/>
    <w:rsid w:val="008F5E8D"/>
    <w:rsid w:val="008F6374"/>
    <w:rsid w:val="008F69D3"/>
    <w:rsid w:val="00900959"/>
    <w:rsid w:val="00901323"/>
    <w:rsid w:val="009017EC"/>
    <w:rsid w:val="00901D60"/>
    <w:rsid w:val="00901E79"/>
    <w:rsid w:val="0090260F"/>
    <w:rsid w:val="00902B83"/>
    <w:rsid w:val="00903533"/>
    <w:rsid w:val="00903646"/>
    <w:rsid w:val="00904B23"/>
    <w:rsid w:val="00904E11"/>
    <w:rsid w:val="009052FC"/>
    <w:rsid w:val="00905437"/>
    <w:rsid w:val="00905780"/>
    <w:rsid w:val="0090631D"/>
    <w:rsid w:val="00906B90"/>
    <w:rsid w:val="00907380"/>
    <w:rsid w:val="009074A3"/>
    <w:rsid w:val="00907E8F"/>
    <w:rsid w:val="009112D7"/>
    <w:rsid w:val="009119B9"/>
    <w:rsid w:val="009121EC"/>
    <w:rsid w:val="00912A88"/>
    <w:rsid w:val="00913D16"/>
    <w:rsid w:val="0091468D"/>
    <w:rsid w:val="00915850"/>
    <w:rsid w:val="00915A33"/>
    <w:rsid w:val="00915E41"/>
    <w:rsid w:val="009176E8"/>
    <w:rsid w:val="00920013"/>
    <w:rsid w:val="00920E32"/>
    <w:rsid w:val="009215E0"/>
    <w:rsid w:val="00921E55"/>
    <w:rsid w:val="00921E69"/>
    <w:rsid w:val="009232E5"/>
    <w:rsid w:val="00923DFD"/>
    <w:rsid w:val="00927D7D"/>
    <w:rsid w:val="00930DB1"/>
    <w:rsid w:val="00930F13"/>
    <w:rsid w:val="0093117C"/>
    <w:rsid w:val="00932240"/>
    <w:rsid w:val="0093269D"/>
    <w:rsid w:val="00932801"/>
    <w:rsid w:val="00933CD0"/>
    <w:rsid w:val="00933E84"/>
    <w:rsid w:val="009344D9"/>
    <w:rsid w:val="009355D7"/>
    <w:rsid w:val="00935798"/>
    <w:rsid w:val="00935DD9"/>
    <w:rsid w:val="00937605"/>
    <w:rsid w:val="00937E3D"/>
    <w:rsid w:val="009405FA"/>
    <w:rsid w:val="00940771"/>
    <w:rsid w:val="00941AAB"/>
    <w:rsid w:val="00941AB8"/>
    <w:rsid w:val="00942A92"/>
    <w:rsid w:val="009433E4"/>
    <w:rsid w:val="0094349B"/>
    <w:rsid w:val="00944C33"/>
    <w:rsid w:val="0094618D"/>
    <w:rsid w:val="0094649C"/>
    <w:rsid w:val="00946E76"/>
    <w:rsid w:val="0094700E"/>
    <w:rsid w:val="00950E7B"/>
    <w:rsid w:val="00950FAA"/>
    <w:rsid w:val="009511E2"/>
    <w:rsid w:val="0095199E"/>
    <w:rsid w:val="00952CF1"/>
    <w:rsid w:val="00952D34"/>
    <w:rsid w:val="0095379B"/>
    <w:rsid w:val="0095433C"/>
    <w:rsid w:val="00956702"/>
    <w:rsid w:val="00956857"/>
    <w:rsid w:val="00957273"/>
    <w:rsid w:val="0095766E"/>
    <w:rsid w:val="00960060"/>
    <w:rsid w:val="0096152F"/>
    <w:rsid w:val="00961531"/>
    <w:rsid w:val="00961578"/>
    <w:rsid w:val="00961A90"/>
    <w:rsid w:val="00961AE9"/>
    <w:rsid w:val="0096214B"/>
    <w:rsid w:val="009635BD"/>
    <w:rsid w:val="009645B9"/>
    <w:rsid w:val="0096462D"/>
    <w:rsid w:val="00964643"/>
    <w:rsid w:val="00966D4A"/>
    <w:rsid w:val="0097002B"/>
    <w:rsid w:val="009703CA"/>
    <w:rsid w:val="009718A9"/>
    <w:rsid w:val="00971C1C"/>
    <w:rsid w:val="00971E87"/>
    <w:rsid w:val="00973D79"/>
    <w:rsid w:val="009752AC"/>
    <w:rsid w:val="009767D8"/>
    <w:rsid w:val="00976F52"/>
    <w:rsid w:val="0098040D"/>
    <w:rsid w:val="00981334"/>
    <w:rsid w:val="0098227E"/>
    <w:rsid w:val="009828A9"/>
    <w:rsid w:val="00982A1D"/>
    <w:rsid w:val="00982B9F"/>
    <w:rsid w:val="0098426A"/>
    <w:rsid w:val="00984B2C"/>
    <w:rsid w:val="009852B7"/>
    <w:rsid w:val="00985451"/>
    <w:rsid w:val="00986ABF"/>
    <w:rsid w:val="00986D1C"/>
    <w:rsid w:val="009900A9"/>
    <w:rsid w:val="00990E9F"/>
    <w:rsid w:val="00991F3C"/>
    <w:rsid w:val="009924D8"/>
    <w:rsid w:val="0099289B"/>
    <w:rsid w:val="00993B1B"/>
    <w:rsid w:val="00993C9B"/>
    <w:rsid w:val="00995A13"/>
    <w:rsid w:val="0099692B"/>
    <w:rsid w:val="00996C3A"/>
    <w:rsid w:val="0099795B"/>
    <w:rsid w:val="00997E27"/>
    <w:rsid w:val="009A074C"/>
    <w:rsid w:val="009A1BA0"/>
    <w:rsid w:val="009A1E97"/>
    <w:rsid w:val="009A2351"/>
    <w:rsid w:val="009A24CA"/>
    <w:rsid w:val="009A296A"/>
    <w:rsid w:val="009A2FFD"/>
    <w:rsid w:val="009A402D"/>
    <w:rsid w:val="009A42B0"/>
    <w:rsid w:val="009A43B9"/>
    <w:rsid w:val="009A61AC"/>
    <w:rsid w:val="009A6336"/>
    <w:rsid w:val="009A73E9"/>
    <w:rsid w:val="009A79AC"/>
    <w:rsid w:val="009A7AD0"/>
    <w:rsid w:val="009B0070"/>
    <w:rsid w:val="009B03D9"/>
    <w:rsid w:val="009B201A"/>
    <w:rsid w:val="009B206B"/>
    <w:rsid w:val="009B2798"/>
    <w:rsid w:val="009B27DD"/>
    <w:rsid w:val="009B2859"/>
    <w:rsid w:val="009B2BBD"/>
    <w:rsid w:val="009B34F9"/>
    <w:rsid w:val="009B3C3D"/>
    <w:rsid w:val="009B3EF1"/>
    <w:rsid w:val="009B4069"/>
    <w:rsid w:val="009B4267"/>
    <w:rsid w:val="009B42C8"/>
    <w:rsid w:val="009B512D"/>
    <w:rsid w:val="009B5A56"/>
    <w:rsid w:val="009B688A"/>
    <w:rsid w:val="009B6C86"/>
    <w:rsid w:val="009B6E81"/>
    <w:rsid w:val="009B6F66"/>
    <w:rsid w:val="009B7839"/>
    <w:rsid w:val="009B7C38"/>
    <w:rsid w:val="009C0C96"/>
    <w:rsid w:val="009C0D36"/>
    <w:rsid w:val="009C2113"/>
    <w:rsid w:val="009C2326"/>
    <w:rsid w:val="009C3FD6"/>
    <w:rsid w:val="009C44D2"/>
    <w:rsid w:val="009C452C"/>
    <w:rsid w:val="009C5C59"/>
    <w:rsid w:val="009C5C62"/>
    <w:rsid w:val="009C606B"/>
    <w:rsid w:val="009C6438"/>
    <w:rsid w:val="009C6E6C"/>
    <w:rsid w:val="009C7535"/>
    <w:rsid w:val="009D2230"/>
    <w:rsid w:val="009D2283"/>
    <w:rsid w:val="009D25A7"/>
    <w:rsid w:val="009D3394"/>
    <w:rsid w:val="009D3ED4"/>
    <w:rsid w:val="009D4BF2"/>
    <w:rsid w:val="009D5C52"/>
    <w:rsid w:val="009D6980"/>
    <w:rsid w:val="009D766F"/>
    <w:rsid w:val="009E139D"/>
    <w:rsid w:val="009E1474"/>
    <w:rsid w:val="009E1D39"/>
    <w:rsid w:val="009E2574"/>
    <w:rsid w:val="009E2FBE"/>
    <w:rsid w:val="009E3773"/>
    <w:rsid w:val="009E377D"/>
    <w:rsid w:val="009E3899"/>
    <w:rsid w:val="009E61AB"/>
    <w:rsid w:val="009E6219"/>
    <w:rsid w:val="009E6E25"/>
    <w:rsid w:val="009E7041"/>
    <w:rsid w:val="009E7057"/>
    <w:rsid w:val="009E7C09"/>
    <w:rsid w:val="009F12BD"/>
    <w:rsid w:val="009F13FE"/>
    <w:rsid w:val="009F24F2"/>
    <w:rsid w:val="009F28CE"/>
    <w:rsid w:val="009F29B3"/>
    <w:rsid w:val="009F3054"/>
    <w:rsid w:val="009F3951"/>
    <w:rsid w:val="009F4052"/>
    <w:rsid w:val="009F4E19"/>
    <w:rsid w:val="009F54E1"/>
    <w:rsid w:val="009F59CA"/>
    <w:rsid w:val="009F72D0"/>
    <w:rsid w:val="009F7835"/>
    <w:rsid w:val="00A0167D"/>
    <w:rsid w:val="00A021AF"/>
    <w:rsid w:val="00A02250"/>
    <w:rsid w:val="00A02FEB"/>
    <w:rsid w:val="00A03406"/>
    <w:rsid w:val="00A03D49"/>
    <w:rsid w:val="00A0507D"/>
    <w:rsid w:val="00A0511D"/>
    <w:rsid w:val="00A051B7"/>
    <w:rsid w:val="00A05DD8"/>
    <w:rsid w:val="00A05E66"/>
    <w:rsid w:val="00A06E44"/>
    <w:rsid w:val="00A07EFB"/>
    <w:rsid w:val="00A11356"/>
    <w:rsid w:val="00A130A4"/>
    <w:rsid w:val="00A13845"/>
    <w:rsid w:val="00A1425E"/>
    <w:rsid w:val="00A14913"/>
    <w:rsid w:val="00A154F8"/>
    <w:rsid w:val="00A17B89"/>
    <w:rsid w:val="00A203C9"/>
    <w:rsid w:val="00A209BF"/>
    <w:rsid w:val="00A21287"/>
    <w:rsid w:val="00A22790"/>
    <w:rsid w:val="00A24F2C"/>
    <w:rsid w:val="00A25469"/>
    <w:rsid w:val="00A26F19"/>
    <w:rsid w:val="00A27E5B"/>
    <w:rsid w:val="00A30FF0"/>
    <w:rsid w:val="00A3145D"/>
    <w:rsid w:val="00A326EC"/>
    <w:rsid w:val="00A3388D"/>
    <w:rsid w:val="00A3393B"/>
    <w:rsid w:val="00A33C5F"/>
    <w:rsid w:val="00A33ED3"/>
    <w:rsid w:val="00A34541"/>
    <w:rsid w:val="00A34777"/>
    <w:rsid w:val="00A353FF"/>
    <w:rsid w:val="00A35881"/>
    <w:rsid w:val="00A36C78"/>
    <w:rsid w:val="00A37A98"/>
    <w:rsid w:val="00A37AE4"/>
    <w:rsid w:val="00A37E07"/>
    <w:rsid w:val="00A41D76"/>
    <w:rsid w:val="00A42604"/>
    <w:rsid w:val="00A4287D"/>
    <w:rsid w:val="00A42BCA"/>
    <w:rsid w:val="00A43848"/>
    <w:rsid w:val="00A455CD"/>
    <w:rsid w:val="00A45738"/>
    <w:rsid w:val="00A46419"/>
    <w:rsid w:val="00A47B34"/>
    <w:rsid w:val="00A501C2"/>
    <w:rsid w:val="00A505E6"/>
    <w:rsid w:val="00A50629"/>
    <w:rsid w:val="00A50ACC"/>
    <w:rsid w:val="00A51ED8"/>
    <w:rsid w:val="00A5356C"/>
    <w:rsid w:val="00A54B21"/>
    <w:rsid w:val="00A56101"/>
    <w:rsid w:val="00A6180C"/>
    <w:rsid w:val="00A62172"/>
    <w:rsid w:val="00A62F83"/>
    <w:rsid w:val="00A630C7"/>
    <w:rsid w:val="00A637A4"/>
    <w:rsid w:val="00A6405C"/>
    <w:rsid w:val="00A647EA"/>
    <w:rsid w:val="00A64A62"/>
    <w:rsid w:val="00A653F6"/>
    <w:rsid w:val="00A65DF4"/>
    <w:rsid w:val="00A66FA7"/>
    <w:rsid w:val="00A67282"/>
    <w:rsid w:val="00A6779F"/>
    <w:rsid w:val="00A67D79"/>
    <w:rsid w:val="00A71240"/>
    <w:rsid w:val="00A71599"/>
    <w:rsid w:val="00A72FC9"/>
    <w:rsid w:val="00A73223"/>
    <w:rsid w:val="00A73561"/>
    <w:rsid w:val="00A74E3D"/>
    <w:rsid w:val="00A77E32"/>
    <w:rsid w:val="00A804C1"/>
    <w:rsid w:val="00A80772"/>
    <w:rsid w:val="00A80E42"/>
    <w:rsid w:val="00A84DA9"/>
    <w:rsid w:val="00A84DD4"/>
    <w:rsid w:val="00A85914"/>
    <w:rsid w:val="00A919BE"/>
    <w:rsid w:val="00A92B63"/>
    <w:rsid w:val="00A9323E"/>
    <w:rsid w:val="00A93DDB"/>
    <w:rsid w:val="00A94EF1"/>
    <w:rsid w:val="00A9515D"/>
    <w:rsid w:val="00A95FF5"/>
    <w:rsid w:val="00A9605D"/>
    <w:rsid w:val="00A962B4"/>
    <w:rsid w:val="00A9646E"/>
    <w:rsid w:val="00A974C1"/>
    <w:rsid w:val="00A97F7D"/>
    <w:rsid w:val="00AA0830"/>
    <w:rsid w:val="00AA147E"/>
    <w:rsid w:val="00AA1ABA"/>
    <w:rsid w:val="00AA1DFA"/>
    <w:rsid w:val="00AA208C"/>
    <w:rsid w:val="00AA449C"/>
    <w:rsid w:val="00AA69B0"/>
    <w:rsid w:val="00AA726B"/>
    <w:rsid w:val="00AA7986"/>
    <w:rsid w:val="00AB04F6"/>
    <w:rsid w:val="00AB0959"/>
    <w:rsid w:val="00AB1DAE"/>
    <w:rsid w:val="00AB2ACC"/>
    <w:rsid w:val="00AB3A4D"/>
    <w:rsid w:val="00AB4883"/>
    <w:rsid w:val="00AB55E4"/>
    <w:rsid w:val="00AB59D3"/>
    <w:rsid w:val="00AB634C"/>
    <w:rsid w:val="00AB79EB"/>
    <w:rsid w:val="00AB7B43"/>
    <w:rsid w:val="00AC03AB"/>
    <w:rsid w:val="00AC09C6"/>
    <w:rsid w:val="00AC0C51"/>
    <w:rsid w:val="00AC0FA3"/>
    <w:rsid w:val="00AC187F"/>
    <w:rsid w:val="00AC1D83"/>
    <w:rsid w:val="00AC2293"/>
    <w:rsid w:val="00AC3E1F"/>
    <w:rsid w:val="00AC40EE"/>
    <w:rsid w:val="00AC41A2"/>
    <w:rsid w:val="00AC4216"/>
    <w:rsid w:val="00AC46A0"/>
    <w:rsid w:val="00AC49FF"/>
    <w:rsid w:val="00AC4F3B"/>
    <w:rsid w:val="00AC5E6C"/>
    <w:rsid w:val="00AC6F47"/>
    <w:rsid w:val="00AD0BE0"/>
    <w:rsid w:val="00AD1F78"/>
    <w:rsid w:val="00AD1FDF"/>
    <w:rsid w:val="00AD20AF"/>
    <w:rsid w:val="00AD2207"/>
    <w:rsid w:val="00AD272C"/>
    <w:rsid w:val="00AD3F55"/>
    <w:rsid w:val="00AD4211"/>
    <w:rsid w:val="00AD429C"/>
    <w:rsid w:val="00AD48DD"/>
    <w:rsid w:val="00AD4B4E"/>
    <w:rsid w:val="00AD503C"/>
    <w:rsid w:val="00AD62C8"/>
    <w:rsid w:val="00AD62E6"/>
    <w:rsid w:val="00AD6E94"/>
    <w:rsid w:val="00AD747A"/>
    <w:rsid w:val="00AD7B6B"/>
    <w:rsid w:val="00AD7D3D"/>
    <w:rsid w:val="00AE048E"/>
    <w:rsid w:val="00AE0575"/>
    <w:rsid w:val="00AE0A7E"/>
    <w:rsid w:val="00AE0CFE"/>
    <w:rsid w:val="00AE13DF"/>
    <w:rsid w:val="00AE1E57"/>
    <w:rsid w:val="00AE25BF"/>
    <w:rsid w:val="00AE4264"/>
    <w:rsid w:val="00AE4F1A"/>
    <w:rsid w:val="00AE5682"/>
    <w:rsid w:val="00AE7212"/>
    <w:rsid w:val="00AE7D4B"/>
    <w:rsid w:val="00AF177C"/>
    <w:rsid w:val="00AF30A2"/>
    <w:rsid w:val="00AF3F33"/>
    <w:rsid w:val="00AF4C10"/>
    <w:rsid w:val="00AF4DD4"/>
    <w:rsid w:val="00AF51D7"/>
    <w:rsid w:val="00AF525E"/>
    <w:rsid w:val="00AF5841"/>
    <w:rsid w:val="00AF67F9"/>
    <w:rsid w:val="00AF694C"/>
    <w:rsid w:val="00AF7DBB"/>
    <w:rsid w:val="00B00357"/>
    <w:rsid w:val="00B01093"/>
    <w:rsid w:val="00B01B38"/>
    <w:rsid w:val="00B02D67"/>
    <w:rsid w:val="00B036D1"/>
    <w:rsid w:val="00B036DC"/>
    <w:rsid w:val="00B040D5"/>
    <w:rsid w:val="00B041D7"/>
    <w:rsid w:val="00B048F5"/>
    <w:rsid w:val="00B04FEE"/>
    <w:rsid w:val="00B050B2"/>
    <w:rsid w:val="00B0521C"/>
    <w:rsid w:val="00B062BD"/>
    <w:rsid w:val="00B06384"/>
    <w:rsid w:val="00B076B2"/>
    <w:rsid w:val="00B07C1B"/>
    <w:rsid w:val="00B10C92"/>
    <w:rsid w:val="00B10F0E"/>
    <w:rsid w:val="00B11514"/>
    <w:rsid w:val="00B11743"/>
    <w:rsid w:val="00B11E33"/>
    <w:rsid w:val="00B11F7C"/>
    <w:rsid w:val="00B12675"/>
    <w:rsid w:val="00B12BD6"/>
    <w:rsid w:val="00B133B1"/>
    <w:rsid w:val="00B151EE"/>
    <w:rsid w:val="00B15D54"/>
    <w:rsid w:val="00B15FB2"/>
    <w:rsid w:val="00B16B2D"/>
    <w:rsid w:val="00B1726B"/>
    <w:rsid w:val="00B17715"/>
    <w:rsid w:val="00B17E57"/>
    <w:rsid w:val="00B21812"/>
    <w:rsid w:val="00B23176"/>
    <w:rsid w:val="00B23D88"/>
    <w:rsid w:val="00B245BE"/>
    <w:rsid w:val="00B2488B"/>
    <w:rsid w:val="00B24C81"/>
    <w:rsid w:val="00B24C8B"/>
    <w:rsid w:val="00B24F18"/>
    <w:rsid w:val="00B270C2"/>
    <w:rsid w:val="00B271F5"/>
    <w:rsid w:val="00B2728C"/>
    <w:rsid w:val="00B30488"/>
    <w:rsid w:val="00B3149F"/>
    <w:rsid w:val="00B330F6"/>
    <w:rsid w:val="00B332F7"/>
    <w:rsid w:val="00B3362F"/>
    <w:rsid w:val="00B33B01"/>
    <w:rsid w:val="00B344B2"/>
    <w:rsid w:val="00B34D3A"/>
    <w:rsid w:val="00B34D6A"/>
    <w:rsid w:val="00B34DF1"/>
    <w:rsid w:val="00B35712"/>
    <w:rsid w:val="00B35858"/>
    <w:rsid w:val="00B36FAB"/>
    <w:rsid w:val="00B4037F"/>
    <w:rsid w:val="00B403AC"/>
    <w:rsid w:val="00B4143F"/>
    <w:rsid w:val="00B41E55"/>
    <w:rsid w:val="00B4239C"/>
    <w:rsid w:val="00B4448C"/>
    <w:rsid w:val="00B4475A"/>
    <w:rsid w:val="00B4593A"/>
    <w:rsid w:val="00B47E04"/>
    <w:rsid w:val="00B51069"/>
    <w:rsid w:val="00B514A8"/>
    <w:rsid w:val="00B5158E"/>
    <w:rsid w:val="00B52F48"/>
    <w:rsid w:val="00B5373B"/>
    <w:rsid w:val="00B53988"/>
    <w:rsid w:val="00B54605"/>
    <w:rsid w:val="00B5466F"/>
    <w:rsid w:val="00B5471F"/>
    <w:rsid w:val="00B55F0F"/>
    <w:rsid w:val="00B560A4"/>
    <w:rsid w:val="00B56378"/>
    <w:rsid w:val="00B57161"/>
    <w:rsid w:val="00B572B0"/>
    <w:rsid w:val="00B5756D"/>
    <w:rsid w:val="00B57B9D"/>
    <w:rsid w:val="00B62280"/>
    <w:rsid w:val="00B623BF"/>
    <w:rsid w:val="00B639A6"/>
    <w:rsid w:val="00B6440F"/>
    <w:rsid w:val="00B651DF"/>
    <w:rsid w:val="00B652CF"/>
    <w:rsid w:val="00B65385"/>
    <w:rsid w:val="00B65E49"/>
    <w:rsid w:val="00B66E90"/>
    <w:rsid w:val="00B67D5D"/>
    <w:rsid w:val="00B67DDD"/>
    <w:rsid w:val="00B70390"/>
    <w:rsid w:val="00B7067E"/>
    <w:rsid w:val="00B708DF"/>
    <w:rsid w:val="00B711F8"/>
    <w:rsid w:val="00B71B1A"/>
    <w:rsid w:val="00B71BB1"/>
    <w:rsid w:val="00B71ED0"/>
    <w:rsid w:val="00B7217C"/>
    <w:rsid w:val="00B7263F"/>
    <w:rsid w:val="00B72CDC"/>
    <w:rsid w:val="00B75A48"/>
    <w:rsid w:val="00B76130"/>
    <w:rsid w:val="00B763B5"/>
    <w:rsid w:val="00B764F1"/>
    <w:rsid w:val="00B771FF"/>
    <w:rsid w:val="00B77826"/>
    <w:rsid w:val="00B77896"/>
    <w:rsid w:val="00B7794B"/>
    <w:rsid w:val="00B77DD4"/>
    <w:rsid w:val="00B80FD9"/>
    <w:rsid w:val="00B813C5"/>
    <w:rsid w:val="00B8190D"/>
    <w:rsid w:val="00B833EB"/>
    <w:rsid w:val="00B8368E"/>
    <w:rsid w:val="00B838F0"/>
    <w:rsid w:val="00B847E0"/>
    <w:rsid w:val="00B8481B"/>
    <w:rsid w:val="00B848F7"/>
    <w:rsid w:val="00B84B8A"/>
    <w:rsid w:val="00B84FE5"/>
    <w:rsid w:val="00B86019"/>
    <w:rsid w:val="00B8666D"/>
    <w:rsid w:val="00B87801"/>
    <w:rsid w:val="00B90FE0"/>
    <w:rsid w:val="00B91014"/>
    <w:rsid w:val="00B93152"/>
    <w:rsid w:val="00B9412F"/>
    <w:rsid w:val="00B945DF"/>
    <w:rsid w:val="00B94EC1"/>
    <w:rsid w:val="00B957DD"/>
    <w:rsid w:val="00B9632C"/>
    <w:rsid w:val="00B97799"/>
    <w:rsid w:val="00B97926"/>
    <w:rsid w:val="00BA0956"/>
    <w:rsid w:val="00BA1969"/>
    <w:rsid w:val="00BA24FF"/>
    <w:rsid w:val="00BA2C6F"/>
    <w:rsid w:val="00BA2FA3"/>
    <w:rsid w:val="00BA43FD"/>
    <w:rsid w:val="00BA4989"/>
    <w:rsid w:val="00BA6B13"/>
    <w:rsid w:val="00BA7797"/>
    <w:rsid w:val="00BA7F79"/>
    <w:rsid w:val="00BB0D3A"/>
    <w:rsid w:val="00BB10B1"/>
    <w:rsid w:val="00BB1E8E"/>
    <w:rsid w:val="00BB2B36"/>
    <w:rsid w:val="00BB2E04"/>
    <w:rsid w:val="00BB3892"/>
    <w:rsid w:val="00BB433B"/>
    <w:rsid w:val="00BB46C0"/>
    <w:rsid w:val="00BB4896"/>
    <w:rsid w:val="00BB630A"/>
    <w:rsid w:val="00BB6A3F"/>
    <w:rsid w:val="00BB72EF"/>
    <w:rsid w:val="00BB7572"/>
    <w:rsid w:val="00BC010C"/>
    <w:rsid w:val="00BC0494"/>
    <w:rsid w:val="00BC0565"/>
    <w:rsid w:val="00BC0B60"/>
    <w:rsid w:val="00BC0E72"/>
    <w:rsid w:val="00BC19DE"/>
    <w:rsid w:val="00BC2E7F"/>
    <w:rsid w:val="00BC405F"/>
    <w:rsid w:val="00BC53C2"/>
    <w:rsid w:val="00BC5B25"/>
    <w:rsid w:val="00BC5DDD"/>
    <w:rsid w:val="00BC6618"/>
    <w:rsid w:val="00BC6F58"/>
    <w:rsid w:val="00BD1AF0"/>
    <w:rsid w:val="00BD1C72"/>
    <w:rsid w:val="00BD2651"/>
    <w:rsid w:val="00BD2C87"/>
    <w:rsid w:val="00BD319B"/>
    <w:rsid w:val="00BD5AFD"/>
    <w:rsid w:val="00BD6175"/>
    <w:rsid w:val="00BD65C0"/>
    <w:rsid w:val="00BD6B35"/>
    <w:rsid w:val="00BD7031"/>
    <w:rsid w:val="00BD7691"/>
    <w:rsid w:val="00BE04A1"/>
    <w:rsid w:val="00BE094A"/>
    <w:rsid w:val="00BE3354"/>
    <w:rsid w:val="00BE3363"/>
    <w:rsid w:val="00BE3474"/>
    <w:rsid w:val="00BE3CA9"/>
    <w:rsid w:val="00BE5284"/>
    <w:rsid w:val="00BE60CF"/>
    <w:rsid w:val="00BE6179"/>
    <w:rsid w:val="00BE66E1"/>
    <w:rsid w:val="00BE6DAE"/>
    <w:rsid w:val="00BE7286"/>
    <w:rsid w:val="00BE775E"/>
    <w:rsid w:val="00BF0146"/>
    <w:rsid w:val="00BF03E4"/>
    <w:rsid w:val="00BF0D24"/>
    <w:rsid w:val="00BF1865"/>
    <w:rsid w:val="00BF1A8B"/>
    <w:rsid w:val="00BF2645"/>
    <w:rsid w:val="00BF2847"/>
    <w:rsid w:val="00BF2C2D"/>
    <w:rsid w:val="00BF3D32"/>
    <w:rsid w:val="00BF3D36"/>
    <w:rsid w:val="00BF45D2"/>
    <w:rsid w:val="00BF4E86"/>
    <w:rsid w:val="00BF507E"/>
    <w:rsid w:val="00BF5DE9"/>
    <w:rsid w:val="00BF5FA5"/>
    <w:rsid w:val="00BF69E4"/>
    <w:rsid w:val="00BF7151"/>
    <w:rsid w:val="00BF76C9"/>
    <w:rsid w:val="00BF7F46"/>
    <w:rsid w:val="00C004BE"/>
    <w:rsid w:val="00C0090D"/>
    <w:rsid w:val="00C01923"/>
    <w:rsid w:val="00C04579"/>
    <w:rsid w:val="00C05EED"/>
    <w:rsid w:val="00C06B77"/>
    <w:rsid w:val="00C07BCF"/>
    <w:rsid w:val="00C07EE6"/>
    <w:rsid w:val="00C118BA"/>
    <w:rsid w:val="00C12458"/>
    <w:rsid w:val="00C124D7"/>
    <w:rsid w:val="00C139F3"/>
    <w:rsid w:val="00C13CC2"/>
    <w:rsid w:val="00C14EED"/>
    <w:rsid w:val="00C150EC"/>
    <w:rsid w:val="00C1556B"/>
    <w:rsid w:val="00C16208"/>
    <w:rsid w:val="00C16644"/>
    <w:rsid w:val="00C16793"/>
    <w:rsid w:val="00C16855"/>
    <w:rsid w:val="00C1746F"/>
    <w:rsid w:val="00C17653"/>
    <w:rsid w:val="00C17FBD"/>
    <w:rsid w:val="00C20EA5"/>
    <w:rsid w:val="00C21159"/>
    <w:rsid w:val="00C217E4"/>
    <w:rsid w:val="00C21FE7"/>
    <w:rsid w:val="00C22AB2"/>
    <w:rsid w:val="00C23D38"/>
    <w:rsid w:val="00C24494"/>
    <w:rsid w:val="00C26D52"/>
    <w:rsid w:val="00C270C1"/>
    <w:rsid w:val="00C27C65"/>
    <w:rsid w:val="00C30A49"/>
    <w:rsid w:val="00C30F68"/>
    <w:rsid w:val="00C31A9B"/>
    <w:rsid w:val="00C32BD5"/>
    <w:rsid w:val="00C32D7C"/>
    <w:rsid w:val="00C35024"/>
    <w:rsid w:val="00C37865"/>
    <w:rsid w:val="00C37CE0"/>
    <w:rsid w:val="00C412A3"/>
    <w:rsid w:val="00C419E9"/>
    <w:rsid w:val="00C423C8"/>
    <w:rsid w:val="00C427EA"/>
    <w:rsid w:val="00C42A8B"/>
    <w:rsid w:val="00C42B55"/>
    <w:rsid w:val="00C42D1F"/>
    <w:rsid w:val="00C43EE9"/>
    <w:rsid w:val="00C4405B"/>
    <w:rsid w:val="00C44163"/>
    <w:rsid w:val="00C448D4"/>
    <w:rsid w:val="00C44D3B"/>
    <w:rsid w:val="00C459CB"/>
    <w:rsid w:val="00C462CF"/>
    <w:rsid w:val="00C46548"/>
    <w:rsid w:val="00C46887"/>
    <w:rsid w:val="00C50E32"/>
    <w:rsid w:val="00C52084"/>
    <w:rsid w:val="00C5234A"/>
    <w:rsid w:val="00C523B5"/>
    <w:rsid w:val="00C52463"/>
    <w:rsid w:val="00C529BD"/>
    <w:rsid w:val="00C5434C"/>
    <w:rsid w:val="00C55358"/>
    <w:rsid w:val="00C55D13"/>
    <w:rsid w:val="00C56271"/>
    <w:rsid w:val="00C56623"/>
    <w:rsid w:val="00C56652"/>
    <w:rsid w:val="00C57321"/>
    <w:rsid w:val="00C573AF"/>
    <w:rsid w:val="00C57708"/>
    <w:rsid w:val="00C605B8"/>
    <w:rsid w:val="00C61EC9"/>
    <w:rsid w:val="00C63F7E"/>
    <w:rsid w:val="00C64300"/>
    <w:rsid w:val="00C6478A"/>
    <w:rsid w:val="00C6704D"/>
    <w:rsid w:val="00C67E0E"/>
    <w:rsid w:val="00C67E95"/>
    <w:rsid w:val="00C70520"/>
    <w:rsid w:val="00C70B5E"/>
    <w:rsid w:val="00C70D46"/>
    <w:rsid w:val="00C70EA3"/>
    <w:rsid w:val="00C70EB7"/>
    <w:rsid w:val="00C716F7"/>
    <w:rsid w:val="00C71702"/>
    <w:rsid w:val="00C7274D"/>
    <w:rsid w:val="00C73D70"/>
    <w:rsid w:val="00C742B2"/>
    <w:rsid w:val="00C747E3"/>
    <w:rsid w:val="00C74915"/>
    <w:rsid w:val="00C75D9B"/>
    <w:rsid w:val="00C76747"/>
    <w:rsid w:val="00C76E29"/>
    <w:rsid w:val="00C771AB"/>
    <w:rsid w:val="00C77B2F"/>
    <w:rsid w:val="00C8063A"/>
    <w:rsid w:val="00C811C5"/>
    <w:rsid w:val="00C8184D"/>
    <w:rsid w:val="00C818C4"/>
    <w:rsid w:val="00C81917"/>
    <w:rsid w:val="00C81AEE"/>
    <w:rsid w:val="00C83999"/>
    <w:rsid w:val="00C83B40"/>
    <w:rsid w:val="00C85038"/>
    <w:rsid w:val="00C85994"/>
    <w:rsid w:val="00C867D4"/>
    <w:rsid w:val="00C86964"/>
    <w:rsid w:val="00C87F65"/>
    <w:rsid w:val="00C9045B"/>
    <w:rsid w:val="00C90625"/>
    <w:rsid w:val="00C90C09"/>
    <w:rsid w:val="00C90E32"/>
    <w:rsid w:val="00C912D5"/>
    <w:rsid w:val="00C9205F"/>
    <w:rsid w:val="00C928E8"/>
    <w:rsid w:val="00C94B91"/>
    <w:rsid w:val="00C9618F"/>
    <w:rsid w:val="00C97C66"/>
    <w:rsid w:val="00CA07C8"/>
    <w:rsid w:val="00CA0D9F"/>
    <w:rsid w:val="00CA1356"/>
    <w:rsid w:val="00CA21B0"/>
    <w:rsid w:val="00CA2DC5"/>
    <w:rsid w:val="00CA2E31"/>
    <w:rsid w:val="00CA3996"/>
    <w:rsid w:val="00CA416A"/>
    <w:rsid w:val="00CA4232"/>
    <w:rsid w:val="00CA4855"/>
    <w:rsid w:val="00CA4C5D"/>
    <w:rsid w:val="00CA5BE3"/>
    <w:rsid w:val="00CA628C"/>
    <w:rsid w:val="00CA64D6"/>
    <w:rsid w:val="00CA7A7B"/>
    <w:rsid w:val="00CB0BA3"/>
    <w:rsid w:val="00CB155F"/>
    <w:rsid w:val="00CB1647"/>
    <w:rsid w:val="00CB1920"/>
    <w:rsid w:val="00CB1C35"/>
    <w:rsid w:val="00CB1ED9"/>
    <w:rsid w:val="00CB2C00"/>
    <w:rsid w:val="00CB33F9"/>
    <w:rsid w:val="00CB3B27"/>
    <w:rsid w:val="00CB55CC"/>
    <w:rsid w:val="00CB5771"/>
    <w:rsid w:val="00CB5C37"/>
    <w:rsid w:val="00CB7871"/>
    <w:rsid w:val="00CC166D"/>
    <w:rsid w:val="00CC2AF4"/>
    <w:rsid w:val="00CC347B"/>
    <w:rsid w:val="00CC4497"/>
    <w:rsid w:val="00CC4CBE"/>
    <w:rsid w:val="00CD0145"/>
    <w:rsid w:val="00CD0712"/>
    <w:rsid w:val="00CD1361"/>
    <w:rsid w:val="00CD228C"/>
    <w:rsid w:val="00CD3C55"/>
    <w:rsid w:val="00CD4776"/>
    <w:rsid w:val="00CD4F07"/>
    <w:rsid w:val="00CD7B41"/>
    <w:rsid w:val="00CD7D88"/>
    <w:rsid w:val="00CE0631"/>
    <w:rsid w:val="00CE1B46"/>
    <w:rsid w:val="00CE2217"/>
    <w:rsid w:val="00CE476D"/>
    <w:rsid w:val="00CE513B"/>
    <w:rsid w:val="00CE6059"/>
    <w:rsid w:val="00CE7885"/>
    <w:rsid w:val="00CE7A5A"/>
    <w:rsid w:val="00CF07AA"/>
    <w:rsid w:val="00CF1E83"/>
    <w:rsid w:val="00CF4BD1"/>
    <w:rsid w:val="00CF5D47"/>
    <w:rsid w:val="00CF6048"/>
    <w:rsid w:val="00CF626A"/>
    <w:rsid w:val="00CF6A7A"/>
    <w:rsid w:val="00D005A7"/>
    <w:rsid w:val="00D00F0B"/>
    <w:rsid w:val="00D025AA"/>
    <w:rsid w:val="00D025D4"/>
    <w:rsid w:val="00D027F8"/>
    <w:rsid w:val="00D029A9"/>
    <w:rsid w:val="00D029CB"/>
    <w:rsid w:val="00D0371F"/>
    <w:rsid w:val="00D042B6"/>
    <w:rsid w:val="00D0536B"/>
    <w:rsid w:val="00D0675A"/>
    <w:rsid w:val="00D068F1"/>
    <w:rsid w:val="00D07221"/>
    <w:rsid w:val="00D07250"/>
    <w:rsid w:val="00D074D1"/>
    <w:rsid w:val="00D10760"/>
    <w:rsid w:val="00D10C9E"/>
    <w:rsid w:val="00D11954"/>
    <w:rsid w:val="00D12FEE"/>
    <w:rsid w:val="00D14703"/>
    <w:rsid w:val="00D149A5"/>
    <w:rsid w:val="00D14D28"/>
    <w:rsid w:val="00D1592B"/>
    <w:rsid w:val="00D17218"/>
    <w:rsid w:val="00D17438"/>
    <w:rsid w:val="00D20598"/>
    <w:rsid w:val="00D20B0D"/>
    <w:rsid w:val="00D22924"/>
    <w:rsid w:val="00D22B88"/>
    <w:rsid w:val="00D2301B"/>
    <w:rsid w:val="00D240F0"/>
    <w:rsid w:val="00D25FAE"/>
    <w:rsid w:val="00D26DF5"/>
    <w:rsid w:val="00D27FFB"/>
    <w:rsid w:val="00D31CBC"/>
    <w:rsid w:val="00D3208D"/>
    <w:rsid w:val="00D32A23"/>
    <w:rsid w:val="00D33599"/>
    <w:rsid w:val="00D33FF3"/>
    <w:rsid w:val="00D34120"/>
    <w:rsid w:val="00D349E9"/>
    <w:rsid w:val="00D34EFA"/>
    <w:rsid w:val="00D35184"/>
    <w:rsid w:val="00D35EB7"/>
    <w:rsid w:val="00D361B6"/>
    <w:rsid w:val="00D367C0"/>
    <w:rsid w:val="00D36A67"/>
    <w:rsid w:val="00D37B7E"/>
    <w:rsid w:val="00D40292"/>
    <w:rsid w:val="00D40AB6"/>
    <w:rsid w:val="00D418CE"/>
    <w:rsid w:val="00D41F5D"/>
    <w:rsid w:val="00D4277B"/>
    <w:rsid w:val="00D43AEE"/>
    <w:rsid w:val="00D43EB2"/>
    <w:rsid w:val="00D446E2"/>
    <w:rsid w:val="00D44766"/>
    <w:rsid w:val="00D44E71"/>
    <w:rsid w:val="00D45B10"/>
    <w:rsid w:val="00D463ED"/>
    <w:rsid w:val="00D464FB"/>
    <w:rsid w:val="00D46C07"/>
    <w:rsid w:val="00D47CE4"/>
    <w:rsid w:val="00D47F28"/>
    <w:rsid w:val="00D50A39"/>
    <w:rsid w:val="00D50CA4"/>
    <w:rsid w:val="00D50F31"/>
    <w:rsid w:val="00D51093"/>
    <w:rsid w:val="00D5109F"/>
    <w:rsid w:val="00D52E3B"/>
    <w:rsid w:val="00D5448C"/>
    <w:rsid w:val="00D546FB"/>
    <w:rsid w:val="00D552A1"/>
    <w:rsid w:val="00D555C2"/>
    <w:rsid w:val="00D55871"/>
    <w:rsid w:val="00D55940"/>
    <w:rsid w:val="00D56F42"/>
    <w:rsid w:val="00D60247"/>
    <w:rsid w:val="00D605F4"/>
    <w:rsid w:val="00D61A48"/>
    <w:rsid w:val="00D61FCD"/>
    <w:rsid w:val="00D639E3"/>
    <w:rsid w:val="00D6430B"/>
    <w:rsid w:val="00D64430"/>
    <w:rsid w:val="00D652D3"/>
    <w:rsid w:val="00D65858"/>
    <w:rsid w:val="00D65A41"/>
    <w:rsid w:val="00D66347"/>
    <w:rsid w:val="00D67BC1"/>
    <w:rsid w:val="00D67C29"/>
    <w:rsid w:val="00D70223"/>
    <w:rsid w:val="00D7031F"/>
    <w:rsid w:val="00D703FD"/>
    <w:rsid w:val="00D706C9"/>
    <w:rsid w:val="00D70990"/>
    <w:rsid w:val="00D70D02"/>
    <w:rsid w:val="00D70FEC"/>
    <w:rsid w:val="00D71C40"/>
    <w:rsid w:val="00D72FFE"/>
    <w:rsid w:val="00D73856"/>
    <w:rsid w:val="00D73F29"/>
    <w:rsid w:val="00D73F3B"/>
    <w:rsid w:val="00D743F3"/>
    <w:rsid w:val="00D74D37"/>
    <w:rsid w:val="00D75B94"/>
    <w:rsid w:val="00D7636A"/>
    <w:rsid w:val="00D767AA"/>
    <w:rsid w:val="00D77366"/>
    <w:rsid w:val="00D7759D"/>
    <w:rsid w:val="00D813E5"/>
    <w:rsid w:val="00D82117"/>
    <w:rsid w:val="00D82CC7"/>
    <w:rsid w:val="00D8410F"/>
    <w:rsid w:val="00D84D04"/>
    <w:rsid w:val="00D86223"/>
    <w:rsid w:val="00D86B9F"/>
    <w:rsid w:val="00D879E6"/>
    <w:rsid w:val="00D87C61"/>
    <w:rsid w:val="00D902CC"/>
    <w:rsid w:val="00D91AA4"/>
    <w:rsid w:val="00D920A5"/>
    <w:rsid w:val="00D9294F"/>
    <w:rsid w:val="00D92E43"/>
    <w:rsid w:val="00D93BFB"/>
    <w:rsid w:val="00D94C7D"/>
    <w:rsid w:val="00D9508A"/>
    <w:rsid w:val="00D95A16"/>
    <w:rsid w:val="00D97599"/>
    <w:rsid w:val="00DA1CD0"/>
    <w:rsid w:val="00DA4056"/>
    <w:rsid w:val="00DA4818"/>
    <w:rsid w:val="00DA545E"/>
    <w:rsid w:val="00DA68A6"/>
    <w:rsid w:val="00DA6F0C"/>
    <w:rsid w:val="00DA6F8A"/>
    <w:rsid w:val="00DA7121"/>
    <w:rsid w:val="00DB0147"/>
    <w:rsid w:val="00DB094E"/>
    <w:rsid w:val="00DB0F90"/>
    <w:rsid w:val="00DB1133"/>
    <w:rsid w:val="00DB1205"/>
    <w:rsid w:val="00DB17A5"/>
    <w:rsid w:val="00DB2D28"/>
    <w:rsid w:val="00DB4860"/>
    <w:rsid w:val="00DB5059"/>
    <w:rsid w:val="00DB5420"/>
    <w:rsid w:val="00DB5D19"/>
    <w:rsid w:val="00DB6420"/>
    <w:rsid w:val="00DB6626"/>
    <w:rsid w:val="00DB7792"/>
    <w:rsid w:val="00DC0BAE"/>
    <w:rsid w:val="00DC1620"/>
    <w:rsid w:val="00DC1769"/>
    <w:rsid w:val="00DC2BF6"/>
    <w:rsid w:val="00DC3E06"/>
    <w:rsid w:val="00DC43DC"/>
    <w:rsid w:val="00DC4D94"/>
    <w:rsid w:val="00DC5825"/>
    <w:rsid w:val="00DC5B31"/>
    <w:rsid w:val="00DC6959"/>
    <w:rsid w:val="00DC6F13"/>
    <w:rsid w:val="00DD1059"/>
    <w:rsid w:val="00DD1095"/>
    <w:rsid w:val="00DD1290"/>
    <w:rsid w:val="00DD1315"/>
    <w:rsid w:val="00DD1EE9"/>
    <w:rsid w:val="00DD21E7"/>
    <w:rsid w:val="00DD241E"/>
    <w:rsid w:val="00DD247E"/>
    <w:rsid w:val="00DD2708"/>
    <w:rsid w:val="00DD390D"/>
    <w:rsid w:val="00DD43B1"/>
    <w:rsid w:val="00DD59A7"/>
    <w:rsid w:val="00DD5C57"/>
    <w:rsid w:val="00DD60A1"/>
    <w:rsid w:val="00DD6A26"/>
    <w:rsid w:val="00DD6FC5"/>
    <w:rsid w:val="00DD70FD"/>
    <w:rsid w:val="00DD7132"/>
    <w:rsid w:val="00DE0E86"/>
    <w:rsid w:val="00DE16E3"/>
    <w:rsid w:val="00DE1E5E"/>
    <w:rsid w:val="00DE2124"/>
    <w:rsid w:val="00DE318E"/>
    <w:rsid w:val="00DE4650"/>
    <w:rsid w:val="00DE5667"/>
    <w:rsid w:val="00DE5A18"/>
    <w:rsid w:val="00DE6695"/>
    <w:rsid w:val="00DE6718"/>
    <w:rsid w:val="00DE6927"/>
    <w:rsid w:val="00DE72CA"/>
    <w:rsid w:val="00DF1E48"/>
    <w:rsid w:val="00DF1F0E"/>
    <w:rsid w:val="00DF216B"/>
    <w:rsid w:val="00DF3F09"/>
    <w:rsid w:val="00DF4782"/>
    <w:rsid w:val="00DF525C"/>
    <w:rsid w:val="00DF5286"/>
    <w:rsid w:val="00DF5B1D"/>
    <w:rsid w:val="00DF6836"/>
    <w:rsid w:val="00DF73AF"/>
    <w:rsid w:val="00DF7AFF"/>
    <w:rsid w:val="00DF7D62"/>
    <w:rsid w:val="00DF7DB9"/>
    <w:rsid w:val="00DF7FAA"/>
    <w:rsid w:val="00E001B4"/>
    <w:rsid w:val="00E0037B"/>
    <w:rsid w:val="00E00AF2"/>
    <w:rsid w:val="00E0118F"/>
    <w:rsid w:val="00E015F1"/>
    <w:rsid w:val="00E02176"/>
    <w:rsid w:val="00E02D0C"/>
    <w:rsid w:val="00E03146"/>
    <w:rsid w:val="00E038C4"/>
    <w:rsid w:val="00E04581"/>
    <w:rsid w:val="00E04E88"/>
    <w:rsid w:val="00E0571C"/>
    <w:rsid w:val="00E05726"/>
    <w:rsid w:val="00E065F9"/>
    <w:rsid w:val="00E06A99"/>
    <w:rsid w:val="00E0777D"/>
    <w:rsid w:val="00E10F4C"/>
    <w:rsid w:val="00E115BF"/>
    <w:rsid w:val="00E12136"/>
    <w:rsid w:val="00E12304"/>
    <w:rsid w:val="00E13069"/>
    <w:rsid w:val="00E13B2C"/>
    <w:rsid w:val="00E15095"/>
    <w:rsid w:val="00E16302"/>
    <w:rsid w:val="00E171EF"/>
    <w:rsid w:val="00E17710"/>
    <w:rsid w:val="00E1771E"/>
    <w:rsid w:val="00E204D1"/>
    <w:rsid w:val="00E20BCC"/>
    <w:rsid w:val="00E20C72"/>
    <w:rsid w:val="00E20DBD"/>
    <w:rsid w:val="00E20E33"/>
    <w:rsid w:val="00E2258E"/>
    <w:rsid w:val="00E225EC"/>
    <w:rsid w:val="00E22645"/>
    <w:rsid w:val="00E2327E"/>
    <w:rsid w:val="00E23494"/>
    <w:rsid w:val="00E2362C"/>
    <w:rsid w:val="00E2375D"/>
    <w:rsid w:val="00E23836"/>
    <w:rsid w:val="00E24030"/>
    <w:rsid w:val="00E24F0A"/>
    <w:rsid w:val="00E25879"/>
    <w:rsid w:val="00E26CAD"/>
    <w:rsid w:val="00E27E1C"/>
    <w:rsid w:val="00E302EA"/>
    <w:rsid w:val="00E3080D"/>
    <w:rsid w:val="00E30E79"/>
    <w:rsid w:val="00E30EC7"/>
    <w:rsid w:val="00E3228F"/>
    <w:rsid w:val="00E32940"/>
    <w:rsid w:val="00E34258"/>
    <w:rsid w:val="00E34312"/>
    <w:rsid w:val="00E366F2"/>
    <w:rsid w:val="00E3742A"/>
    <w:rsid w:val="00E3792A"/>
    <w:rsid w:val="00E3793B"/>
    <w:rsid w:val="00E37C0B"/>
    <w:rsid w:val="00E40852"/>
    <w:rsid w:val="00E41284"/>
    <w:rsid w:val="00E424BB"/>
    <w:rsid w:val="00E42C6C"/>
    <w:rsid w:val="00E43AEB"/>
    <w:rsid w:val="00E44933"/>
    <w:rsid w:val="00E450FB"/>
    <w:rsid w:val="00E459E2"/>
    <w:rsid w:val="00E45BA7"/>
    <w:rsid w:val="00E46D0F"/>
    <w:rsid w:val="00E46F71"/>
    <w:rsid w:val="00E515E4"/>
    <w:rsid w:val="00E51A58"/>
    <w:rsid w:val="00E523E1"/>
    <w:rsid w:val="00E52CA8"/>
    <w:rsid w:val="00E541BE"/>
    <w:rsid w:val="00E542F8"/>
    <w:rsid w:val="00E54CD9"/>
    <w:rsid w:val="00E552E5"/>
    <w:rsid w:val="00E566FC"/>
    <w:rsid w:val="00E569E6"/>
    <w:rsid w:val="00E56FDE"/>
    <w:rsid w:val="00E57312"/>
    <w:rsid w:val="00E6026C"/>
    <w:rsid w:val="00E6107E"/>
    <w:rsid w:val="00E6228B"/>
    <w:rsid w:val="00E624A0"/>
    <w:rsid w:val="00E648A6"/>
    <w:rsid w:val="00E64A23"/>
    <w:rsid w:val="00E64A60"/>
    <w:rsid w:val="00E65DF5"/>
    <w:rsid w:val="00E67067"/>
    <w:rsid w:val="00E708FA"/>
    <w:rsid w:val="00E70C2C"/>
    <w:rsid w:val="00E70D9C"/>
    <w:rsid w:val="00E72890"/>
    <w:rsid w:val="00E730B7"/>
    <w:rsid w:val="00E743B1"/>
    <w:rsid w:val="00E75506"/>
    <w:rsid w:val="00E76869"/>
    <w:rsid w:val="00E801C9"/>
    <w:rsid w:val="00E80F00"/>
    <w:rsid w:val="00E8124D"/>
    <w:rsid w:val="00E81FBA"/>
    <w:rsid w:val="00E825A8"/>
    <w:rsid w:val="00E83034"/>
    <w:rsid w:val="00E832FD"/>
    <w:rsid w:val="00E83AF4"/>
    <w:rsid w:val="00E83B04"/>
    <w:rsid w:val="00E83B81"/>
    <w:rsid w:val="00E8439D"/>
    <w:rsid w:val="00E84C44"/>
    <w:rsid w:val="00E84C79"/>
    <w:rsid w:val="00E8528C"/>
    <w:rsid w:val="00E85410"/>
    <w:rsid w:val="00E856A7"/>
    <w:rsid w:val="00E856B3"/>
    <w:rsid w:val="00E9183B"/>
    <w:rsid w:val="00E91E14"/>
    <w:rsid w:val="00E933E0"/>
    <w:rsid w:val="00E94472"/>
    <w:rsid w:val="00E9470D"/>
    <w:rsid w:val="00E94F93"/>
    <w:rsid w:val="00E9578A"/>
    <w:rsid w:val="00E97B89"/>
    <w:rsid w:val="00E97BCD"/>
    <w:rsid w:val="00EA0109"/>
    <w:rsid w:val="00EA1737"/>
    <w:rsid w:val="00EA1DB5"/>
    <w:rsid w:val="00EA1E3D"/>
    <w:rsid w:val="00EA2156"/>
    <w:rsid w:val="00EA283B"/>
    <w:rsid w:val="00EA3F44"/>
    <w:rsid w:val="00EA3F78"/>
    <w:rsid w:val="00EA48A5"/>
    <w:rsid w:val="00EA4FF3"/>
    <w:rsid w:val="00EA519C"/>
    <w:rsid w:val="00EA5AAF"/>
    <w:rsid w:val="00EA6C0D"/>
    <w:rsid w:val="00EA6EC7"/>
    <w:rsid w:val="00EA6FC6"/>
    <w:rsid w:val="00EA6FEF"/>
    <w:rsid w:val="00EA72EF"/>
    <w:rsid w:val="00EA77B3"/>
    <w:rsid w:val="00EA7A5C"/>
    <w:rsid w:val="00EB0376"/>
    <w:rsid w:val="00EB0827"/>
    <w:rsid w:val="00EB0E9A"/>
    <w:rsid w:val="00EB159E"/>
    <w:rsid w:val="00EB2AD5"/>
    <w:rsid w:val="00EB4368"/>
    <w:rsid w:val="00EB5E5F"/>
    <w:rsid w:val="00EB5F45"/>
    <w:rsid w:val="00EB6191"/>
    <w:rsid w:val="00EB64DB"/>
    <w:rsid w:val="00EB6DCA"/>
    <w:rsid w:val="00EB704C"/>
    <w:rsid w:val="00EB7444"/>
    <w:rsid w:val="00EB7C6B"/>
    <w:rsid w:val="00EC1F54"/>
    <w:rsid w:val="00EC23F0"/>
    <w:rsid w:val="00EC2697"/>
    <w:rsid w:val="00EC328D"/>
    <w:rsid w:val="00EC32DD"/>
    <w:rsid w:val="00EC37F6"/>
    <w:rsid w:val="00EC3BA0"/>
    <w:rsid w:val="00EC5BFD"/>
    <w:rsid w:val="00EC65F0"/>
    <w:rsid w:val="00EC6EC3"/>
    <w:rsid w:val="00EC7880"/>
    <w:rsid w:val="00EC7CD1"/>
    <w:rsid w:val="00EC7D17"/>
    <w:rsid w:val="00ED05CD"/>
    <w:rsid w:val="00ED0A6C"/>
    <w:rsid w:val="00ED18AC"/>
    <w:rsid w:val="00ED18F3"/>
    <w:rsid w:val="00ED1BE9"/>
    <w:rsid w:val="00ED3D86"/>
    <w:rsid w:val="00ED3ECD"/>
    <w:rsid w:val="00ED43C3"/>
    <w:rsid w:val="00ED4779"/>
    <w:rsid w:val="00ED5CCE"/>
    <w:rsid w:val="00ED5CF4"/>
    <w:rsid w:val="00ED6898"/>
    <w:rsid w:val="00ED764B"/>
    <w:rsid w:val="00ED7DE8"/>
    <w:rsid w:val="00EE0979"/>
    <w:rsid w:val="00EE2597"/>
    <w:rsid w:val="00EE25AB"/>
    <w:rsid w:val="00EE3594"/>
    <w:rsid w:val="00EE3ED7"/>
    <w:rsid w:val="00EE5204"/>
    <w:rsid w:val="00EE60B6"/>
    <w:rsid w:val="00EE623D"/>
    <w:rsid w:val="00EE75E6"/>
    <w:rsid w:val="00EE79C3"/>
    <w:rsid w:val="00EE7BA6"/>
    <w:rsid w:val="00EF18D3"/>
    <w:rsid w:val="00EF1C33"/>
    <w:rsid w:val="00EF1EFC"/>
    <w:rsid w:val="00EF292F"/>
    <w:rsid w:val="00EF3397"/>
    <w:rsid w:val="00EF35BB"/>
    <w:rsid w:val="00EF3766"/>
    <w:rsid w:val="00EF4105"/>
    <w:rsid w:val="00EF4263"/>
    <w:rsid w:val="00EF473E"/>
    <w:rsid w:val="00EF4E32"/>
    <w:rsid w:val="00EF5078"/>
    <w:rsid w:val="00EF5A9E"/>
    <w:rsid w:val="00EF5B25"/>
    <w:rsid w:val="00EF69BA"/>
    <w:rsid w:val="00EF6D2F"/>
    <w:rsid w:val="00EF70E6"/>
    <w:rsid w:val="00EF730E"/>
    <w:rsid w:val="00EF7906"/>
    <w:rsid w:val="00EF7B66"/>
    <w:rsid w:val="00EF7CAF"/>
    <w:rsid w:val="00F00587"/>
    <w:rsid w:val="00F00774"/>
    <w:rsid w:val="00F007F9"/>
    <w:rsid w:val="00F00960"/>
    <w:rsid w:val="00F00B3F"/>
    <w:rsid w:val="00F00EF0"/>
    <w:rsid w:val="00F01BAD"/>
    <w:rsid w:val="00F021B2"/>
    <w:rsid w:val="00F028B9"/>
    <w:rsid w:val="00F03CC1"/>
    <w:rsid w:val="00F04236"/>
    <w:rsid w:val="00F04B96"/>
    <w:rsid w:val="00F05D78"/>
    <w:rsid w:val="00F0624C"/>
    <w:rsid w:val="00F0660B"/>
    <w:rsid w:val="00F0734B"/>
    <w:rsid w:val="00F100E9"/>
    <w:rsid w:val="00F10952"/>
    <w:rsid w:val="00F1181E"/>
    <w:rsid w:val="00F1249D"/>
    <w:rsid w:val="00F130F2"/>
    <w:rsid w:val="00F1345D"/>
    <w:rsid w:val="00F135A9"/>
    <w:rsid w:val="00F14230"/>
    <w:rsid w:val="00F15DAF"/>
    <w:rsid w:val="00F15EA8"/>
    <w:rsid w:val="00F15EF0"/>
    <w:rsid w:val="00F163A9"/>
    <w:rsid w:val="00F16CBF"/>
    <w:rsid w:val="00F178B5"/>
    <w:rsid w:val="00F21A36"/>
    <w:rsid w:val="00F21B8A"/>
    <w:rsid w:val="00F21BA4"/>
    <w:rsid w:val="00F21CCF"/>
    <w:rsid w:val="00F21E34"/>
    <w:rsid w:val="00F2232F"/>
    <w:rsid w:val="00F23A0E"/>
    <w:rsid w:val="00F23EF3"/>
    <w:rsid w:val="00F23F87"/>
    <w:rsid w:val="00F24BDE"/>
    <w:rsid w:val="00F24CF2"/>
    <w:rsid w:val="00F250F0"/>
    <w:rsid w:val="00F26A47"/>
    <w:rsid w:val="00F27268"/>
    <w:rsid w:val="00F27364"/>
    <w:rsid w:val="00F27DB9"/>
    <w:rsid w:val="00F3000B"/>
    <w:rsid w:val="00F300CE"/>
    <w:rsid w:val="00F3040C"/>
    <w:rsid w:val="00F30AA8"/>
    <w:rsid w:val="00F312F1"/>
    <w:rsid w:val="00F3157B"/>
    <w:rsid w:val="00F31E79"/>
    <w:rsid w:val="00F32096"/>
    <w:rsid w:val="00F32468"/>
    <w:rsid w:val="00F34631"/>
    <w:rsid w:val="00F35D59"/>
    <w:rsid w:val="00F35D9A"/>
    <w:rsid w:val="00F369FA"/>
    <w:rsid w:val="00F3797E"/>
    <w:rsid w:val="00F37E71"/>
    <w:rsid w:val="00F4074E"/>
    <w:rsid w:val="00F40D88"/>
    <w:rsid w:val="00F41277"/>
    <w:rsid w:val="00F418FB"/>
    <w:rsid w:val="00F4215F"/>
    <w:rsid w:val="00F42B84"/>
    <w:rsid w:val="00F44353"/>
    <w:rsid w:val="00F44940"/>
    <w:rsid w:val="00F457F8"/>
    <w:rsid w:val="00F47677"/>
    <w:rsid w:val="00F5035A"/>
    <w:rsid w:val="00F51DD3"/>
    <w:rsid w:val="00F51F5E"/>
    <w:rsid w:val="00F52494"/>
    <w:rsid w:val="00F52945"/>
    <w:rsid w:val="00F529E5"/>
    <w:rsid w:val="00F532D4"/>
    <w:rsid w:val="00F537DB"/>
    <w:rsid w:val="00F53A64"/>
    <w:rsid w:val="00F53B53"/>
    <w:rsid w:val="00F54094"/>
    <w:rsid w:val="00F54E10"/>
    <w:rsid w:val="00F54F4F"/>
    <w:rsid w:val="00F551D6"/>
    <w:rsid w:val="00F55337"/>
    <w:rsid w:val="00F55698"/>
    <w:rsid w:val="00F569D2"/>
    <w:rsid w:val="00F5738B"/>
    <w:rsid w:val="00F57D84"/>
    <w:rsid w:val="00F6054F"/>
    <w:rsid w:val="00F60E7A"/>
    <w:rsid w:val="00F610C2"/>
    <w:rsid w:val="00F6150D"/>
    <w:rsid w:val="00F61624"/>
    <w:rsid w:val="00F618A7"/>
    <w:rsid w:val="00F625F0"/>
    <w:rsid w:val="00F628F4"/>
    <w:rsid w:val="00F631AC"/>
    <w:rsid w:val="00F650A0"/>
    <w:rsid w:val="00F650E6"/>
    <w:rsid w:val="00F65990"/>
    <w:rsid w:val="00F6658F"/>
    <w:rsid w:val="00F672F6"/>
    <w:rsid w:val="00F677FA"/>
    <w:rsid w:val="00F6783E"/>
    <w:rsid w:val="00F6786D"/>
    <w:rsid w:val="00F67913"/>
    <w:rsid w:val="00F67A6E"/>
    <w:rsid w:val="00F7034B"/>
    <w:rsid w:val="00F70454"/>
    <w:rsid w:val="00F71675"/>
    <w:rsid w:val="00F71944"/>
    <w:rsid w:val="00F71A44"/>
    <w:rsid w:val="00F727F7"/>
    <w:rsid w:val="00F74F5A"/>
    <w:rsid w:val="00F759EB"/>
    <w:rsid w:val="00F761B2"/>
    <w:rsid w:val="00F763A1"/>
    <w:rsid w:val="00F80BC6"/>
    <w:rsid w:val="00F80D5E"/>
    <w:rsid w:val="00F816D9"/>
    <w:rsid w:val="00F81840"/>
    <w:rsid w:val="00F81F18"/>
    <w:rsid w:val="00F8247B"/>
    <w:rsid w:val="00F834C6"/>
    <w:rsid w:val="00F8479C"/>
    <w:rsid w:val="00F84BBF"/>
    <w:rsid w:val="00F84C69"/>
    <w:rsid w:val="00F8508A"/>
    <w:rsid w:val="00F8523B"/>
    <w:rsid w:val="00F85E4F"/>
    <w:rsid w:val="00F86855"/>
    <w:rsid w:val="00F90000"/>
    <w:rsid w:val="00F90F80"/>
    <w:rsid w:val="00F910C6"/>
    <w:rsid w:val="00F9146C"/>
    <w:rsid w:val="00F917C5"/>
    <w:rsid w:val="00F91EFB"/>
    <w:rsid w:val="00F9328F"/>
    <w:rsid w:val="00F944F1"/>
    <w:rsid w:val="00F9565A"/>
    <w:rsid w:val="00F957F8"/>
    <w:rsid w:val="00F95996"/>
    <w:rsid w:val="00F95E50"/>
    <w:rsid w:val="00F96D62"/>
    <w:rsid w:val="00F97599"/>
    <w:rsid w:val="00FA0E18"/>
    <w:rsid w:val="00FA17A1"/>
    <w:rsid w:val="00FA2458"/>
    <w:rsid w:val="00FA24AE"/>
    <w:rsid w:val="00FA2A85"/>
    <w:rsid w:val="00FA2ADF"/>
    <w:rsid w:val="00FA2EC5"/>
    <w:rsid w:val="00FA361B"/>
    <w:rsid w:val="00FA3C3B"/>
    <w:rsid w:val="00FA44AE"/>
    <w:rsid w:val="00FA4B1F"/>
    <w:rsid w:val="00FA4BF3"/>
    <w:rsid w:val="00FA5852"/>
    <w:rsid w:val="00FA5E8F"/>
    <w:rsid w:val="00FA645B"/>
    <w:rsid w:val="00FA67E0"/>
    <w:rsid w:val="00FA6F18"/>
    <w:rsid w:val="00FA7A64"/>
    <w:rsid w:val="00FA7AEF"/>
    <w:rsid w:val="00FA7BB9"/>
    <w:rsid w:val="00FB02C6"/>
    <w:rsid w:val="00FB0BF5"/>
    <w:rsid w:val="00FB1543"/>
    <w:rsid w:val="00FB15A6"/>
    <w:rsid w:val="00FB17B7"/>
    <w:rsid w:val="00FB4015"/>
    <w:rsid w:val="00FB4304"/>
    <w:rsid w:val="00FB4618"/>
    <w:rsid w:val="00FB46FF"/>
    <w:rsid w:val="00FB51EF"/>
    <w:rsid w:val="00FB53E6"/>
    <w:rsid w:val="00FB592E"/>
    <w:rsid w:val="00FB59F4"/>
    <w:rsid w:val="00FB5C77"/>
    <w:rsid w:val="00FB5D9E"/>
    <w:rsid w:val="00FB5F46"/>
    <w:rsid w:val="00FB67DA"/>
    <w:rsid w:val="00FB68F1"/>
    <w:rsid w:val="00FB6A0A"/>
    <w:rsid w:val="00FC01A1"/>
    <w:rsid w:val="00FC0492"/>
    <w:rsid w:val="00FC0704"/>
    <w:rsid w:val="00FC1322"/>
    <w:rsid w:val="00FC157E"/>
    <w:rsid w:val="00FC1FC7"/>
    <w:rsid w:val="00FC2C89"/>
    <w:rsid w:val="00FC35CC"/>
    <w:rsid w:val="00FC4201"/>
    <w:rsid w:val="00FC4C79"/>
    <w:rsid w:val="00FC6E32"/>
    <w:rsid w:val="00FC6F2C"/>
    <w:rsid w:val="00FC7B6C"/>
    <w:rsid w:val="00FD0D0F"/>
    <w:rsid w:val="00FD16C2"/>
    <w:rsid w:val="00FD206D"/>
    <w:rsid w:val="00FD28FB"/>
    <w:rsid w:val="00FD4287"/>
    <w:rsid w:val="00FD44A7"/>
    <w:rsid w:val="00FD45C9"/>
    <w:rsid w:val="00FD49EE"/>
    <w:rsid w:val="00FD4B87"/>
    <w:rsid w:val="00FD50BB"/>
    <w:rsid w:val="00FD6B51"/>
    <w:rsid w:val="00FD7A51"/>
    <w:rsid w:val="00FE00AE"/>
    <w:rsid w:val="00FE07EE"/>
    <w:rsid w:val="00FE08F0"/>
    <w:rsid w:val="00FE0A4C"/>
    <w:rsid w:val="00FE0A58"/>
    <w:rsid w:val="00FE1E72"/>
    <w:rsid w:val="00FE27C6"/>
    <w:rsid w:val="00FE29E2"/>
    <w:rsid w:val="00FE4FA6"/>
    <w:rsid w:val="00FF0F95"/>
    <w:rsid w:val="00FF11AA"/>
    <w:rsid w:val="00FF18EB"/>
    <w:rsid w:val="00FF1D22"/>
    <w:rsid w:val="00FF1FF4"/>
    <w:rsid w:val="00FF25DF"/>
    <w:rsid w:val="00FF3AB2"/>
    <w:rsid w:val="00FF6F2D"/>
    <w:rsid w:val="00FF7568"/>
    <w:rsid w:val="00FF78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599DB"/>
  <w15:chartTrackingRefBased/>
  <w15:docId w15:val="{B3D60224-4577-404B-BF92-22F26D8EC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F0A"/>
    <w:pPr>
      <w:tabs>
        <w:tab w:val="center" w:pos="4819"/>
        <w:tab w:val="right" w:pos="9638"/>
      </w:tabs>
    </w:pPr>
  </w:style>
  <w:style w:type="paragraph" w:styleId="Pidipagina">
    <w:name w:val="footer"/>
    <w:basedOn w:val="Normale"/>
    <w:link w:val="PidipaginaCarattere"/>
    <w:rsid w:val="002A0F0A"/>
    <w:pPr>
      <w:tabs>
        <w:tab w:val="center" w:pos="4819"/>
        <w:tab w:val="right" w:pos="9638"/>
      </w:tabs>
    </w:pPr>
  </w:style>
  <w:style w:type="paragraph" w:styleId="Testonormale">
    <w:name w:val="Plain Text"/>
    <w:basedOn w:val="Normale"/>
    <w:rsid w:val="002A0F0A"/>
    <w:rPr>
      <w:rFonts w:ascii="Courier New" w:hAnsi="Courier New" w:cs="Courier New"/>
      <w:sz w:val="20"/>
      <w:szCs w:val="20"/>
    </w:rPr>
  </w:style>
  <w:style w:type="character" w:styleId="Enfasigrassetto">
    <w:name w:val="Strong"/>
    <w:qFormat/>
    <w:rsid w:val="003E0D7C"/>
    <w:rPr>
      <w:b/>
      <w:bCs/>
    </w:rPr>
  </w:style>
  <w:style w:type="paragraph" w:styleId="Testofumetto">
    <w:name w:val="Balloon Text"/>
    <w:basedOn w:val="Normale"/>
    <w:semiHidden/>
    <w:rsid w:val="00170400"/>
    <w:rPr>
      <w:rFonts w:ascii="Tahoma" w:hAnsi="Tahoma" w:cs="Tahoma"/>
      <w:sz w:val="16"/>
      <w:szCs w:val="16"/>
    </w:rPr>
  </w:style>
  <w:style w:type="character" w:styleId="Collegamentoipertestuale">
    <w:name w:val="Hyperlink"/>
    <w:uiPriority w:val="99"/>
    <w:unhideWhenUsed/>
    <w:rsid w:val="00D7031F"/>
    <w:rPr>
      <w:color w:val="0000FF"/>
      <w:u w:val="single"/>
    </w:rPr>
  </w:style>
  <w:style w:type="character" w:customStyle="1" w:styleId="PidipaginaCarattere">
    <w:name w:val="Piè di pagina Carattere"/>
    <w:link w:val="Pidipagina"/>
    <w:rsid w:val="00B7794B"/>
    <w:rPr>
      <w:sz w:val="24"/>
      <w:szCs w:val="24"/>
    </w:rPr>
  </w:style>
  <w:style w:type="paragraph" w:styleId="Testonotadichiusura">
    <w:name w:val="endnote text"/>
    <w:basedOn w:val="Normale"/>
    <w:link w:val="TestonotadichiusuraCarattere"/>
    <w:rsid w:val="00303114"/>
    <w:rPr>
      <w:sz w:val="20"/>
      <w:szCs w:val="20"/>
    </w:rPr>
  </w:style>
  <w:style w:type="character" w:customStyle="1" w:styleId="TestonotadichiusuraCarattere">
    <w:name w:val="Testo nota di chiusura Carattere"/>
    <w:basedOn w:val="Carpredefinitoparagrafo"/>
    <w:link w:val="Testonotadichiusura"/>
    <w:rsid w:val="00303114"/>
  </w:style>
  <w:style w:type="character" w:styleId="Rimandonotadichiusura">
    <w:name w:val="endnote reference"/>
    <w:basedOn w:val="Carpredefinitoparagrafo"/>
    <w:rsid w:val="00303114"/>
    <w:rPr>
      <w:vertAlign w:val="superscript"/>
    </w:rPr>
  </w:style>
  <w:style w:type="character" w:customStyle="1" w:styleId="Menzionenonrisolta1">
    <w:name w:val="Menzione non risolta1"/>
    <w:basedOn w:val="Carpredefinitoparagrafo"/>
    <w:uiPriority w:val="99"/>
    <w:semiHidden/>
    <w:unhideWhenUsed/>
    <w:rsid w:val="00B041D7"/>
    <w:rPr>
      <w:color w:val="605E5C"/>
      <w:shd w:val="clear" w:color="auto" w:fill="E1DFDD"/>
    </w:rPr>
  </w:style>
  <w:style w:type="paragraph" w:styleId="NormaleWeb">
    <w:name w:val="Normal (Web)"/>
    <w:basedOn w:val="Normale"/>
    <w:uiPriority w:val="99"/>
    <w:unhideWhenUsed/>
    <w:rsid w:val="007A571D"/>
    <w:pPr>
      <w:spacing w:before="100" w:beforeAutospacing="1" w:after="142" w:line="276" w:lineRule="auto"/>
    </w:pPr>
  </w:style>
  <w:style w:type="paragraph" w:styleId="Paragrafoelenco">
    <w:name w:val="List Paragraph"/>
    <w:basedOn w:val="Normale"/>
    <w:uiPriority w:val="34"/>
    <w:qFormat/>
    <w:rsid w:val="0079329B"/>
    <w:pPr>
      <w:ind w:left="720"/>
      <w:contextualSpacing/>
    </w:pPr>
  </w:style>
  <w:style w:type="character" w:styleId="Menzionenonrisolta">
    <w:name w:val="Unresolved Mention"/>
    <w:basedOn w:val="Carpredefinitoparagrafo"/>
    <w:uiPriority w:val="99"/>
    <w:semiHidden/>
    <w:unhideWhenUsed/>
    <w:rsid w:val="00800D12"/>
    <w:rPr>
      <w:color w:val="605E5C"/>
      <w:shd w:val="clear" w:color="auto" w:fill="E1DFDD"/>
    </w:rPr>
  </w:style>
  <w:style w:type="table" w:styleId="Grigliatabella">
    <w:name w:val="Table Grid"/>
    <w:basedOn w:val="Tabellanormale"/>
    <w:rsid w:val="00692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670">
      <w:bodyDiv w:val="1"/>
      <w:marLeft w:val="0"/>
      <w:marRight w:val="0"/>
      <w:marTop w:val="0"/>
      <w:marBottom w:val="0"/>
      <w:divBdr>
        <w:top w:val="none" w:sz="0" w:space="0" w:color="auto"/>
        <w:left w:val="none" w:sz="0" w:space="0" w:color="auto"/>
        <w:bottom w:val="none" w:sz="0" w:space="0" w:color="auto"/>
        <w:right w:val="none" w:sz="0" w:space="0" w:color="auto"/>
      </w:divBdr>
    </w:div>
    <w:div w:id="118693343">
      <w:bodyDiv w:val="1"/>
      <w:marLeft w:val="0"/>
      <w:marRight w:val="0"/>
      <w:marTop w:val="0"/>
      <w:marBottom w:val="0"/>
      <w:divBdr>
        <w:top w:val="none" w:sz="0" w:space="0" w:color="auto"/>
        <w:left w:val="none" w:sz="0" w:space="0" w:color="auto"/>
        <w:bottom w:val="none" w:sz="0" w:space="0" w:color="auto"/>
        <w:right w:val="none" w:sz="0" w:space="0" w:color="auto"/>
      </w:divBdr>
    </w:div>
    <w:div w:id="946279794">
      <w:bodyDiv w:val="1"/>
      <w:marLeft w:val="0"/>
      <w:marRight w:val="0"/>
      <w:marTop w:val="0"/>
      <w:marBottom w:val="0"/>
      <w:divBdr>
        <w:top w:val="none" w:sz="0" w:space="0" w:color="auto"/>
        <w:left w:val="none" w:sz="0" w:space="0" w:color="auto"/>
        <w:bottom w:val="none" w:sz="0" w:space="0" w:color="auto"/>
        <w:right w:val="none" w:sz="0" w:space="0" w:color="auto"/>
      </w:divBdr>
    </w:div>
    <w:div w:id="1031147581">
      <w:bodyDiv w:val="1"/>
      <w:marLeft w:val="0"/>
      <w:marRight w:val="0"/>
      <w:marTop w:val="0"/>
      <w:marBottom w:val="0"/>
      <w:divBdr>
        <w:top w:val="none" w:sz="0" w:space="0" w:color="auto"/>
        <w:left w:val="none" w:sz="0" w:space="0" w:color="auto"/>
        <w:bottom w:val="none" w:sz="0" w:space="0" w:color="auto"/>
        <w:right w:val="none" w:sz="0" w:space="0" w:color="auto"/>
      </w:divBdr>
    </w:div>
    <w:div w:id="1125545306">
      <w:bodyDiv w:val="1"/>
      <w:marLeft w:val="0"/>
      <w:marRight w:val="0"/>
      <w:marTop w:val="0"/>
      <w:marBottom w:val="0"/>
      <w:divBdr>
        <w:top w:val="none" w:sz="0" w:space="0" w:color="auto"/>
        <w:left w:val="none" w:sz="0" w:space="0" w:color="auto"/>
        <w:bottom w:val="none" w:sz="0" w:space="0" w:color="auto"/>
        <w:right w:val="none" w:sz="0" w:space="0" w:color="auto"/>
      </w:divBdr>
    </w:div>
    <w:div w:id="1185439496">
      <w:bodyDiv w:val="1"/>
      <w:marLeft w:val="0"/>
      <w:marRight w:val="0"/>
      <w:marTop w:val="0"/>
      <w:marBottom w:val="0"/>
      <w:divBdr>
        <w:top w:val="none" w:sz="0" w:space="0" w:color="auto"/>
        <w:left w:val="none" w:sz="0" w:space="0" w:color="auto"/>
        <w:bottom w:val="none" w:sz="0" w:space="0" w:color="auto"/>
        <w:right w:val="none" w:sz="0" w:space="0" w:color="auto"/>
      </w:divBdr>
    </w:div>
    <w:div w:id="1626931719">
      <w:bodyDiv w:val="1"/>
      <w:marLeft w:val="0"/>
      <w:marRight w:val="0"/>
      <w:marTop w:val="0"/>
      <w:marBottom w:val="0"/>
      <w:divBdr>
        <w:top w:val="none" w:sz="0" w:space="0" w:color="auto"/>
        <w:left w:val="none" w:sz="0" w:space="0" w:color="auto"/>
        <w:bottom w:val="none" w:sz="0" w:space="0" w:color="auto"/>
        <w:right w:val="none" w:sz="0" w:space="0" w:color="auto"/>
      </w:divBdr>
    </w:div>
    <w:div w:id="1835535521">
      <w:bodyDiv w:val="1"/>
      <w:marLeft w:val="0"/>
      <w:marRight w:val="0"/>
      <w:marTop w:val="0"/>
      <w:marBottom w:val="0"/>
      <w:divBdr>
        <w:top w:val="none" w:sz="0" w:space="0" w:color="auto"/>
        <w:left w:val="none" w:sz="0" w:space="0" w:color="auto"/>
        <w:bottom w:val="none" w:sz="0" w:space="0" w:color="auto"/>
        <w:right w:val="none" w:sz="0" w:space="0" w:color="auto"/>
      </w:divBdr>
    </w:div>
    <w:div w:id="2050952513">
      <w:bodyDiv w:val="1"/>
      <w:marLeft w:val="0"/>
      <w:marRight w:val="0"/>
      <w:marTop w:val="0"/>
      <w:marBottom w:val="0"/>
      <w:divBdr>
        <w:top w:val="none" w:sz="0" w:space="0" w:color="auto"/>
        <w:left w:val="none" w:sz="0" w:space="0" w:color="auto"/>
        <w:bottom w:val="none" w:sz="0" w:space="0" w:color="auto"/>
        <w:right w:val="none" w:sz="0" w:space="0" w:color="auto"/>
      </w:divBdr>
    </w:div>
    <w:div w:id="213131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186/1476-072X-13-9"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oi.org/10.1177/096228029900800204" TargetMode="External"/><Relationship Id="rId17" Type="http://schemas.openxmlformats.org/officeDocument/2006/relationships/hyperlink" Target="https://doi.org/10.1002/%28SICI%291097-0258%2819960430%2915%3A8%3C765%3A%3AAID-SIM242%3E3.0.CO%3B2-T" TargetMode="External"/><Relationship Id="rId2" Type="http://schemas.openxmlformats.org/officeDocument/2006/relationships/customXml" Target="../customXml/item2.xml"/><Relationship Id="rId16" Type="http://schemas.openxmlformats.org/officeDocument/2006/relationships/hyperlink" Target="https://doi.org/10.1016/j.epidem.2022.10063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07/s11111-020-00360-8" TargetMode="External"/><Relationship Id="rId5" Type="http://schemas.openxmlformats.org/officeDocument/2006/relationships/numbering" Target="numbering.xml"/><Relationship Id="rId15" Type="http://schemas.openxmlformats.org/officeDocument/2006/relationships/hyperlink" Target="https://doi.org/10.1371/journal.pone.0107042"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5194/essd-11-1385-20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Modulistica e Modelli" ma:contentTypeID="0x0101004F48A16EE6CB4320AF330DE4EBE8DB750055D17F50304844768B8C48A11458544900EEA682410AFD4C1993C23356160222EA000F866CA80A06624CAD3EBCA4C5E00D7C" ma:contentTypeVersion="1" ma:contentTypeDescription="" ma:contentTypeScope="" ma:versionID="6c9fe75181e76a83ea17993b18c01ee4">
  <xsd:schema xmlns:xsd="http://www.w3.org/2001/XMLSchema" xmlns:p="http://schemas.microsoft.com/office/2006/metadata/properties" xmlns:ns1="http://schemas.microsoft.com/sharepoint/v3" xmlns:ns2="17050E7E-A2DD-4021-B821-9F40A7206F78" targetNamespace="http://schemas.microsoft.com/office/2006/metadata/properties" ma:root="true" ma:fieldsID="bfeeb4410fcec1f75012fd3f45986c1b" ns1:_="" ns2:_="">
    <xsd:import namespace="http://schemas.microsoft.com/sharepoint/v3"/>
    <xsd:import namespace="17050E7E-A2DD-4021-B821-9F40A7206F78"/>
    <xsd:element name="properties">
      <xsd:complexType>
        <xsd:sequence>
          <xsd:element name="documentManagement">
            <xsd:complexType>
              <xsd:all>
                <xsd:element ref="ns1:Author" minOccurs="0"/>
                <xsd:element ref="ns1:Editor" minOccurs="0"/>
                <xsd:element ref="ns2:AutoreDoc"/>
                <xsd:element ref="ns2:AbstractO"/>
                <xsd:element ref="ns2:StatoDoc"/>
                <xsd:element ref="ns2:AnnoRedazione"/>
                <xsd:element ref="ns2:PagineDiAssegnazion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Author" ma:index="9" nillable="true" ma:displayName="Creato da"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0" nillable="true" ma:displayName="Modificato d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17050E7E-A2DD-4021-B821-9F40A7206F78" elementFormDefault="qualified">
    <xsd:import namespace="http://schemas.microsoft.com/office/2006/documentManagement/types"/>
    <xsd:element name="AutoreDoc" ma:index="11" ma:displayName="Autore" ma:description="Inserire il nome dell'autore nella forma 'Cognome Nome'. Nel caso di più autori, separare ognuno con il ';'. Se gli autori sono più di tre, scrivere i primi tre e poi 'et al.'. Se il documento è stato genericamente redatto da una struttura (area, settore, ufficio...), inserire il nome della struttura. Per leggi, statuti e normativa in genere inserire 'Italia', 'Roma', 'UE'... Se non si conosce il nome dell'autore, inserire la fonte." ma:internalName="AutoreDoc">
      <xsd:simpleType>
        <xsd:restriction base="dms:Text">
          <xsd:maxLength value="255"/>
        </xsd:restriction>
      </xsd:simpleType>
    </xsd:element>
    <xsd:element name="AbstractO" ma:index="12" ma:displayName="Abstract" ma:description="N.B. Si consiglia di non scrivere più di 5 righe." ma:internalName="AbstractO">
      <xsd:simpleType>
        <xsd:restriction base="dms:Note"/>
      </xsd:simpleType>
    </xsd:element>
    <xsd:element name="StatoDoc" ma:index="13" ma:displayName="Stato" ma:format="Dropdown" ma:internalName="StatoDoc">
      <xsd:simpleType>
        <xsd:restriction base="dms:Choice">
          <xsd:enumeration value="Bozza"/>
          <xsd:enumeration value="Definitivo"/>
        </xsd:restriction>
      </xsd:simpleType>
    </xsd:element>
    <xsd:element name="AnnoRedazione" ma:index="14" ma:displayName="Anno di redazione" ma:internalName="AnnoRedazione">
      <xsd:simpleType>
        <xsd:union memberTypes="dms:Text">
          <xsd:simpleType>
            <xsd:restriction base="dms:Choice">
              <xsd:enumeration value="2015"/>
              <xsd:enumeration value="2014"/>
              <xsd:enumeration value="2013"/>
              <xsd:enumeration value="2012"/>
              <xsd:enumeration value="2011"/>
              <xsd:enumeration value="2010"/>
              <xsd:enumeration value="2009"/>
              <xsd:enumeration value="2008"/>
              <xsd:enumeration value="2007"/>
              <xsd:enumeration value="2006"/>
              <xsd:enumeration value="2005"/>
              <xsd:enumeration value="2004"/>
              <xsd:enumeration value="2003"/>
              <xsd:enumeration value="2002"/>
              <xsd:enumeration value="2001"/>
              <xsd:enumeration value="2000"/>
            </xsd:restriction>
          </xsd:simpleType>
        </xsd:union>
      </xsd:simpleType>
    </xsd:element>
    <xsd:element name="PagineDiAssegnazione" ma:index="15" nillable="true" ma:displayName="Pagine di assegnazione" ma:internalName="PagineDiAssegnazion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ma:readOnly="true"/>
        <xsd:element ref="dc:title" maxOccurs="1" ma:index="7"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gineDiAssegnazione xmlns="17050E7E-A2DD-4021-B821-9F40A7206F78" xsi:nil="true"/>
    <AnnoRedazione xmlns="17050E7E-A2DD-4021-B821-9F40A7206F78">2011</AnnoRedazione>
    <AbstractO xmlns="17050E7E-A2DD-4021-B821-9F40A7206F78">Modello carta intestata AAGG.</AbstractO>
    <AutoreDoc xmlns="17050E7E-A2DD-4021-B821-9F40A7206F78">AAGG - Settore Comunicazione</AutoreDoc>
    <StatoDoc xmlns="17050E7E-A2DD-4021-B821-9F40A7206F78">Definitivo</StatoDoc>
  </documentManagement>
</p:properties>
</file>

<file path=customXml/itemProps1.xml><?xml version="1.0" encoding="utf-8"?>
<ds:datastoreItem xmlns:ds="http://schemas.openxmlformats.org/officeDocument/2006/customXml" ds:itemID="{BE3374DD-44A5-42C6-B949-936FA2119B1A}">
  <ds:schemaRefs>
    <ds:schemaRef ds:uri="http://schemas.microsoft.com/office/2006/metadata/longProperties"/>
  </ds:schemaRefs>
</ds:datastoreItem>
</file>

<file path=customXml/itemProps2.xml><?xml version="1.0" encoding="utf-8"?>
<ds:datastoreItem xmlns:ds="http://schemas.openxmlformats.org/officeDocument/2006/customXml" ds:itemID="{F37E072E-229E-4305-88D7-B6635AB6CC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50E7E-A2DD-4021-B821-9F40A7206F7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E15B10-2AFC-4FCA-AA70-2B17F8F4FFA7}">
  <ds:schemaRefs>
    <ds:schemaRef ds:uri="http://schemas.microsoft.com/sharepoint/v3/contenttype/forms"/>
  </ds:schemaRefs>
</ds:datastoreItem>
</file>

<file path=customXml/itemProps4.xml><?xml version="1.0" encoding="utf-8"?>
<ds:datastoreItem xmlns:ds="http://schemas.openxmlformats.org/officeDocument/2006/customXml" ds:itemID="{23ED0697-7295-46D3-9079-E030A669B2D9}">
  <ds:schemaRefs>
    <ds:schemaRef ds:uri="http://schemas.microsoft.com/office/2006/metadata/properties"/>
    <ds:schemaRef ds:uri="http://schemas.microsoft.com/office/infopath/2007/PartnerControls"/>
    <ds:schemaRef ds:uri="17050E7E-A2DD-4021-B821-9F40A7206F78"/>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7</Pages>
  <Words>2667</Words>
  <Characters>15207</Characters>
  <Application>Microsoft Office Word</Application>
  <DocSecurity>0</DocSecurity>
  <Lines>126</Lines>
  <Paragraphs>35</Paragraphs>
  <ScaleCrop>false</ScaleCrop>
  <HeadingPairs>
    <vt:vector size="2" baseType="variant">
      <vt:variant>
        <vt:lpstr>Titolo</vt:lpstr>
      </vt:variant>
      <vt:variant>
        <vt:i4>1</vt:i4>
      </vt:variant>
    </vt:vector>
  </HeadingPairs>
  <TitlesOfParts>
    <vt:vector size="1" baseType="lpstr">
      <vt:lpstr>Modello carta intestata AAGG</vt:lpstr>
    </vt:vector>
  </TitlesOfParts>
  <Company>Università di Bologna</Company>
  <LinksUpToDate>false</LinksUpToDate>
  <CharactersWithSpaces>17839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carta intestata AAGG</dc:title>
  <dc:subject/>
  <dc:creator>Administrator</dc:creator>
  <cp:keywords/>
  <dc:description/>
  <cp:lastModifiedBy>Jacopo Lenzi</cp:lastModifiedBy>
  <cp:revision>7</cp:revision>
  <cp:lastPrinted>2023-05-04T12:23:00Z</cp:lastPrinted>
  <dcterms:created xsi:type="dcterms:W3CDTF">2025-05-28T23:16:00Z</dcterms:created>
  <dcterms:modified xsi:type="dcterms:W3CDTF">2026-07-11T17:07:00Z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Modulistica e Modelli</vt:lpwstr>
  </property>
</Properties>
</file>